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rPr>
        <w:id w:val="-152369159"/>
        <w:docPartObj>
          <w:docPartGallery w:val="Cover Pages"/>
          <w:docPartUnique/>
        </w:docPartObj>
      </w:sdtPr>
      <w:sdtEndPr/>
      <w:sdtContent>
        <w:p w14:paraId="085BDB4D" w14:textId="77777777" w:rsidR="00291F9C" w:rsidRPr="00AD4B4F" w:rsidRDefault="00C22979">
          <w:pPr>
            <w:spacing w:after="0" w:line="240" w:lineRule="auto"/>
            <w:rPr>
              <w:i/>
            </w:rPr>
          </w:pPr>
          <w:r w:rsidRPr="00AD4B4F">
            <w:rPr>
              <w:rFonts w:cs="Arial"/>
              <w:b/>
              <w:bCs/>
              <w:iCs/>
              <w:noProof/>
              <w:sz w:val="28"/>
              <w:szCs w:val="28"/>
            </w:rPr>
            <mc:AlternateContent>
              <mc:Choice Requires="wps">
                <w:drawing>
                  <wp:anchor distT="0" distB="0" distL="114300" distR="114300" simplePos="0" relativeHeight="251659264" behindDoc="0" locked="0" layoutInCell="1" allowOverlap="1" wp14:anchorId="4C6ADD88" wp14:editId="3AC1825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11825"/>
                                  <w:gridCol w:w="11199"/>
                                </w:tblGrid>
                                <w:tr w:rsidR="00C22979" w14:paraId="6DC568B8" w14:textId="77777777">
                                  <w:trPr>
                                    <w:jc w:val="center"/>
                                  </w:trPr>
                                  <w:tc>
                                    <w:tcPr>
                                      <w:tcW w:w="2568" w:type="pct"/>
                                      <w:vAlign w:val="center"/>
                                    </w:tcPr>
                                    <w:p w14:paraId="4738ACB2" w14:textId="189BE564" w:rsidR="00C22979" w:rsidRDefault="00DE653D">
                                      <w:pPr>
                                        <w:jc w:val="right"/>
                                      </w:pPr>
                                      <w:r>
                                        <w:rPr>
                                          <w:noProof/>
                                        </w:rPr>
                                        <w:drawing>
                                          <wp:inline distT="0" distB="0" distL="0" distR="0" wp14:anchorId="56F8C218" wp14:editId="41830B9B">
                                            <wp:extent cx="2990023" cy="1935983"/>
                                            <wp:effectExtent l="0" t="0" r="1270" b="7620"/>
                                            <wp:docPr id="2" name="Picture 2" descr="- The Spot Medi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e Spot Media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398" cy="194140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460E0A" w14:textId="0C706DF1" w:rsidR="00C22979" w:rsidRDefault="00014154">
                                          <w:pPr>
                                            <w:pStyle w:val="NoSpacing"/>
                                            <w:spacing w:line="312" w:lineRule="auto"/>
                                            <w:jc w:val="right"/>
                                            <w:rPr>
                                              <w:caps/>
                                              <w:color w:val="191919" w:themeColor="text1" w:themeTint="E6"/>
                                              <w:sz w:val="72"/>
                                              <w:szCs w:val="72"/>
                                            </w:rPr>
                                          </w:pPr>
                                          <w:r>
                                            <w:rPr>
                                              <w:caps/>
                                              <w:color w:val="191919" w:themeColor="text1" w:themeTint="E6"/>
                                              <w:sz w:val="72"/>
                                              <w:szCs w:val="72"/>
                                            </w:rPr>
                                            <w:t>Consolidated annual performance and evaluation report (caper)</w:t>
                                          </w:r>
                                        </w:p>
                                      </w:sdtContent>
                                    </w:sdt>
                                    <w:sdt>
                                      <w:sdtPr>
                                        <w:rPr>
                                          <w:color w:val="000000" w:themeColor="text1"/>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E958C9E" w14:textId="22F0041A" w:rsidR="00C22979" w:rsidRDefault="00014154">
                                          <w:pPr>
                                            <w:jc w:val="right"/>
                                            <w:rPr>
                                              <w:sz w:val="24"/>
                                              <w:szCs w:val="24"/>
                                            </w:rPr>
                                          </w:pPr>
                                          <w:r w:rsidRPr="00014154">
                                            <w:rPr>
                                              <w:color w:val="000000" w:themeColor="text1"/>
                                              <w:sz w:val="32"/>
                                              <w:szCs w:val="32"/>
                                            </w:rPr>
                                            <w:t>City of York, York County, Pennsylvania</w:t>
                                          </w:r>
                                        </w:p>
                                      </w:sdtContent>
                                    </w:sdt>
                                  </w:tc>
                                  <w:tc>
                                    <w:tcPr>
                                      <w:tcW w:w="2432" w:type="pct"/>
                                      <w:vAlign w:val="center"/>
                                    </w:tcPr>
                                    <w:p w14:paraId="32636649" w14:textId="77777777" w:rsidR="00061CCC" w:rsidRDefault="00061CCC">
                                      <w:pPr>
                                        <w:pStyle w:val="NoSpacing"/>
                                        <w:rPr>
                                          <w:caps/>
                                          <w:color w:val="C0504D" w:themeColor="accent2"/>
                                          <w:sz w:val="26"/>
                                          <w:szCs w:val="26"/>
                                        </w:rPr>
                                      </w:pPr>
                                      <w:r>
                                        <w:rPr>
                                          <w:caps/>
                                          <w:color w:val="C0504D" w:themeColor="accent2"/>
                                          <w:sz w:val="26"/>
                                          <w:szCs w:val="26"/>
                                        </w:rPr>
                                        <w:t>community development block grant program and</w:t>
                                      </w:r>
                                    </w:p>
                                    <w:p w14:paraId="7A407451" w14:textId="59C69588" w:rsidR="00C22979" w:rsidRDefault="00061CCC">
                                      <w:pPr>
                                        <w:pStyle w:val="NoSpacing"/>
                                        <w:rPr>
                                          <w:caps/>
                                          <w:color w:val="C0504D" w:themeColor="accent2"/>
                                          <w:sz w:val="26"/>
                                          <w:szCs w:val="26"/>
                                        </w:rPr>
                                      </w:pPr>
                                      <w:r>
                                        <w:rPr>
                                          <w:caps/>
                                          <w:color w:val="C0504D" w:themeColor="accent2"/>
                                          <w:sz w:val="26"/>
                                          <w:szCs w:val="26"/>
                                        </w:rPr>
                                        <w:t>home investment partnerships program</w:t>
                                      </w:r>
                                    </w:p>
                                    <w:p w14:paraId="15BB4F6C" w14:textId="3FE17616" w:rsidR="00C22979" w:rsidRDefault="00C22979">
                                      <w:pPr>
                                        <w:rPr>
                                          <w:color w:val="000000" w:themeColor="text1"/>
                                        </w:rPr>
                                      </w:pPr>
                                    </w:p>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DE2AFC9" w14:textId="1128BF4F" w:rsidR="00C22979" w:rsidRDefault="00061CCC">
                                          <w:pPr>
                                            <w:pStyle w:val="NoSpacing"/>
                                            <w:rPr>
                                              <w:color w:val="C0504D" w:themeColor="accent2"/>
                                              <w:sz w:val="26"/>
                                              <w:szCs w:val="26"/>
                                            </w:rPr>
                                          </w:pPr>
                                          <w:r>
                                            <w:rPr>
                                              <w:color w:val="C0504D" w:themeColor="accent2"/>
                                              <w:sz w:val="26"/>
                                              <w:szCs w:val="26"/>
                                            </w:rPr>
                                            <w:t>FISCAL YEAR 2022</w:t>
                                          </w:r>
                                        </w:p>
                                      </w:sdtContent>
                                    </w:sdt>
                                    <w:p w14:paraId="0C7E8BC9" w14:textId="639E1C57" w:rsidR="00C22979" w:rsidRDefault="00704326">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061CCC">
                                            <w:rPr>
                                              <w:color w:val="1F497D" w:themeColor="text2"/>
                                            </w:rPr>
                                            <w:t xml:space="preserve">(1/1/2022 through </w:t>
                                          </w:r>
                                          <w:r w:rsidR="00291F9C">
                                            <w:rPr>
                                              <w:color w:val="1F497D" w:themeColor="text2"/>
                                            </w:rPr>
                                            <w:t>12/31/2022</w:t>
                                          </w:r>
                                        </w:sdtContent>
                                      </w:sdt>
                                    </w:p>
                                  </w:tc>
                                </w:tr>
                              </w:tbl>
                              <w:p w14:paraId="494F5EB8" w14:textId="77777777" w:rsidR="00C22979" w:rsidRDefault="00C2297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C6ADD88"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11825"/>
                            <w:gridCol w:w="11199"/>
                          </w:tblGrid>
                          <w:tr w:rsidR="00C22979" w14:paraId="6DC568B8" w14:textId="77777777">
                            <w:trPr>
                              <w:jc w:val="center"/>
                            </w:trPr>
                            <w:tc>
                              <w:tcPr>
                                <w:tcW w:w="2568" w:type="pct"/>
                                <w:vAlign w:val="center"/>
                              </w:tcPr>
                              <w:p w14:paraId="4738ACB2" w14:textId="189BE564" w:rsidR="00C22979" w:rsidRDefault="00DE653D">
                                <w:pPr>
                                  <w:jc w:val="right"/>
                                </w:pPr>
                                <w:r>
                                  <w:rPr>
                                    <w:noProof/>
                                  </w:rPr>
                                  <w:drawing>
                                    <wp:inline distT="0" distB="0" distL="0" distR="0" wp14:anchorId="56F8C218" wp14:editId="41830B9B">
                                      <wp:extent cx="2990023" cy="1935983"/>
                                      <wp:effectExtent l="0" t="0" r="1270" b="7620"/>
                                      <wp:docPr id="2" name="Picture 2" descr="- The Spot Medi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e Spot Media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398" cy="194140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460E0A" w14:textId="0C706DF1" w:rsidR="00C22979" w:rsidRDefault="00014154">
                                    <w:pPr>
                                      <w:pStyle w:val="NoSpacing"/>
                                      <w:spacing w:line="312" w:lineRule="auto"/>
                                      <w:jc w:val="right"/>
                                      <w:rPr>
                                        <w:caps/>
                                        <w:color w:val="191919" w:themeColor="text1" w:themeTint="E6"/>
                                        <w:sz w:val="72"/>
                                        <w:szCs w:val="72"/>
                                      </w:rPr>
                                    </w:pPr>
                                    <w:r>
                                      <w:rPr>
                                        <w:caps/>
                                        <w:color w:val="191919" w:themeColor="text1" w:themeTint="E6"/>
                                        <w:sz w:val="72"/>
                                        <w:szCs w:val="72"/>
                                      </w:rPr>
                                      <w:t>Consolidated annual performance and evaluation report (caper)</w:t>
                                    </w:r>
                                  </w:p>
                                </w:sdtContent>
                              </w:sdt>
                              <w:sdt>
                                <w:sdtPr>
                                  <w:rPr>
                                    <w:color w:val="000000" w:themeColor="text1"/>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E958C9E" w14:textId="22F0041A" w:rsidR="00C22979" w:rsidRDefault="00014154">
                                    <w:pPr>
                                      <w:jc w:val="right"/>
                                      <w:rPr>
                                        <w:sz w:val="24"/>
                                        <w:szCs w:val="24"/>
                                      </w:rPr>
                                    </w:pPr>
                                    <w:r w:rsidRPr="00014154">
                                      <w:rPr>
                                        <w:color w:val="000000" w:themeColor="text1"/>
                                        <w:sz w:val="32"/>
                                        <w:szCs w:val="32"/>
                                      </w:rPr>
                                      <w:t>City of York, York County, Pennsylvania</w:t>
                                    </w:r>
                                  </w:p>
                                </w:sdtContent>
                              </w:sdt>
                            </w:tc>
                            <w:tc>
                              <w:tcPr>
                                <w:tcW w:w="2432" w:type="pct"/>
                                <w:vAlign w:val="center"/>
                              </w:tcPr>
                              <w:p w14:paraId="32636649" w14:textId="77777777" w:rsidR="00061CCC" w:rsidRDefault="00061CCC">
                                <w:pPr>
                                  <w:pStyle w:val="NoSpacing"/>
                                  <w:rPr>
                                    <w:caps/>
                                    <w:color w:val="C0504D" w:themeColor="accent2"/>
                                    <w:sz w:val="26"/>
                                    <w:szCs w:val="26"/>
                                  </w:rPr>
                                </w:pPr>
                                <w:r>
                                  <w:rPr>
                                    <w:caps/>
                                    <w:color w:val="C0504D" w:themeColor="accent2"/>
                                    <w:sz w:val="26"/>
                                    <w:szCs w:val="26"/>
                                  </w:rPr>
                                  <w:t>community development block grant program and</w:t>
                                </w:r>
                              </w:p>
                              <w:p w14:paraId="7A407451" w14:textId="59C69588" w:rsidR="00C22979" w:rsidRDefault="00061CCC">
                                <w:pPr>
                                  <w:pStyle w:val="NoSpacing"/>
                                  <w:rPr>
                                    <w:caps/>
                                    <w:color w:val="C0504D" w:themeColor="accent2"/>
                                    <w:sz w:val="26"/>
                                    <w:szCs w:val="26"/>
                                  </w:rPr>
                                </w:pPr>
                                <w:r>
                                  <w:rPr>
                                    <w:caps/>
                                    <w:color w:val="C0504D" w:themeColor="accent2"/>
                                    <w:sz w:val="26"/>
                                    <w:szCs w:val="26"/>
                                  </w:rPr>
                                  <w:t>home investment partnerships program</w:t>
                                </w:r>
                              </w:p>
                              <w:p w14:paraId="15BB4F6C" w14:textId="3FE17616" w:rsidR="00C22979" w:rsidRDefault="00C22979">
                                <w:pPr>
                                  <w:rPr>
                                    <w:color w:val="000000" w:themeColor="text1"/>
                                  </w:rPr>
                                </w:pPr>
                              </w:p>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DE2AFC9" w14:textId="1128BF4F" w:rsidR="00C22979" w:rsidRDefault="00061CCC">
                                    <w:pPr>
                                      <w:pStyle w:val="NoSpacing"/>
                                      <w:rPr>
                                        <w:color w:val="C0504D" w:themeColor="accent2"/>
                                        <w:sz w:val="26"/>
                                        <w:szCs w:val="26"/>
                                      </w:rPr>
                                    </w:pPr>
                                    <w:r>
                                      <w:rPr>
                                        <w:color w:val="C0504D" w:themeColor="accent2"/>
                                        <w:sz w:val="26"/>
                                        <w:szCs w:val="26"/>
                                      </w:rPr>
                                      <w:t>FISCAL YEAR 2022</w:t>
                                    </w:r>
                                  </w:p>
                                </w:sdtContent>
                              </w:sdt>
                              <w:p w14:paraId="0C7E8BC9" w14:textId="639E1C57" w:rsidR="00C22979" w:rsidRDefault="00704326">
                                <w:pPr>
                                  <w:pStyle w:val="NoSpacing"/>
                                </w:pPr>
                                <w:sdt>
                                  <w:sdtPr>
                                    <w:rPr>
                                      <w:color w:val="1F497D"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061CCC">
                                      <w:rPr>
                                        <w:color w:val="1F497D" w:themeColor="text2"/>
                                      </w:rPr>
                                      <w:t xml:space="preserve">(1/1/2022 through </w:t>
                                    </w:r>
                                    <w:r w:rsidR="00291F9C">
                                      <w:rPr>
                                        <w:color w:val="1F497D" w:themeColor="text2"/>
                                      </w:rPr>
                                      <w:t>12/31/2022</w:t>
                                    </w:r>
                                  </w:sdtContent>
                                </w:sdt>
                              </w:p>
                            </w:tc>
                          </w:tr>
                        </w:tbl>
                        <w:p w14:paraId="494F5EB8" w14:textId="77777777" w:rsidR="00C22979" w:rsidRDefault="00C22979"/>
                      </w:txbxContent>
                    </v:textbox>
                    <w10:wrap anchorx="page" anchory="page"/>
                  </v:shape>
                </w:pict>
              </mc:Fallback>
            </mc:AlternateContent>
          </w:r>
          <w:r w:rsidRPr="00AD4B4F">
            <w:rPr>
              <w:i/>
            </w:rPr>
            <w:br w:type="page"/>
          </w:r>
        </w:p>
        <w:p w14:paraId="0331402E" w14:textId="348F9DA0" w:rsidR="00291F9C" w:rsidRPr="00AD4B4F" w:rsidRDefault="00291F9C">
          <w:pPr>
            <w:spacing w:after="0" w:line="240" w:lineRule="auto"/>
            <w:rPr>
              <w:i/>
            </w:rPr>
          </w:pPr>
        </w:p>
        <w:sdt>
          <w:sdtPr>
            <w:rPr>
              <w:rFonts w:ascii="Calibri" w:eastAsia="Calibri" w:hAnsi="Calibri" w:cs="Times New Roman"/>
              <w:color w:val="auto"/>
              <w:sz w:val="22"/>
              <w:szCs w:val="22"/>
            </w:rPr>
            <w:id w:val="252626553"/>
            <w:docPartObj>
              <w:docPartGallery w:val="Table of Contents"/>
              <w:docPartUnique/>
            </w:docPartObj>
          </w:sdtPr>
          <w:sdtEndPr>
            <w:rPr>
              <w:b/>
              <w:bCs/>
              <w:noProof/>
            </w:rPr>
          </w:sdtEndPr>
          <w:sdtContent>
            <w:p w14:paraId="1377DC16" w14:textId="7826E75F" w:rsidR="00291F9C" w:rsidRPr="00AD4B4F" w:rsidRDefault="00291F9C">
              <w:pPr>
                <w:pStyle w:val="TOCHeading"/>
              </w:pPr>
              <w:r w:rsidRPr="00AD4B4F">
                <w:t>Contents</w:t>
              </w:r>
            </w:p>
            <w:p w14:paraId="77816281" w14:textId="1AB6A101" w:rsidR="00291F9C" w:rsidRPr="00AD4B4F" w:rsidRDefault="00291F9C">
              <w:pPr>
                <w:pStyle w:val="TOC2"/>
                <w:tabs>
                  <w:tab w:val="right" w:leader="dot" w:pos="21590"/>
                </w:tabs>
                <w:rPr>
                  <w:rFonts w:asciiTheme="minorHAnsi" w:eastAsiaTheme="minorEastAsia" w:hAnsiTheme="minorHAnsi" w:cstheme="minorBidi"/>
                  <w:noProof/>
                </w:rPr>
              </w:pPr>
              <w:r w:rsidRPr="00AD4B4F">
                <w:fldChar w:fldCharType="begin"/>
              </w:r>
              <w:r w:rsidRPr="00AD4B4F">
                <w:instrText xml:space="preserve"> TOC \o "1-3" \h \z \u </w:instrText>
              </w:r>
              <w:r w:rsidRPr="00AD4B4F">
                <w:fldChar w:fldCharType="separate"/>
              </w:r>
              <w:hyperlink w:anchor="_Toc127268193" w:history="1">
                <w:r w:rsidRPr="00AD4B4F">
                  <w:rPr>
                    <w:rStyle w:val="Hyperlink"/>
                    <w:noProof/>
                  </w:rPr>
                  <w:t>CR-05 - Goals and Outcomes</w:t>
                </w:r>
                <w:r w:rsidRPr="00AD4B4F">
                  <w:rPr>
                    <w:noProof/>
                    <w:webHidden/>
                  </w:rPr>
                  <w:tab/>
                </w:r>
                <w:r w:rsidRPr="00AD4B4F">
                  <w:rPr>
                    <w:noProof/>
                    <w:webHidden/>
                  </w:rPr>
                  <w:fldChar w:fldCharType="begin"/>
                </w:r>
                <w:r w:rsidRPr="00AD4B4F">
                  <w:rPr>
                    <w:noProof/>
                    <w:webHidden/>
                  </w:rPr>
                  <w:instrText xml:space="preserve"> PAGEREF _Toc127268193 \h </w:instrText>
                </w:r>
                <w:r w:rsidRPr="00AD4B4F">
                  <w:rPr>
                    <w:noProof/>
                    <w:webHidden/>
                  </w:rPr>
                </w:r>
                <w:r w:rsidRPr="00AD4B4F">
                  <w:rPr>
                    <w:noProof/>
                    <w:webHidden/>
                  </w:rPr>
                  <w:fldChar w:fldCharType="separate"/>
                </w:r>
                <w:r w:rsidRPr="00AD4B4F">
                  <w:rPr>
                    <w:noProof/>
                    <w:webHidden/>
                  </w:rPr>
                  <w:t>2</w:t>
                </w:r>
                <w:r w:rsidRPr="00AD4B4F">
                  <w:rPr>
                    <w:noProof/>
                    <w:webHidden/>
                  </w:rPr>
                  <w:fldChar w:fldCharType="end"/>
                </w:r>
              </w:hyperlink>
            </w:p>
            <w:p w14:paraId="39ACDE95" w14:textId="2E3D3B60" w:rsidR="00291F9C" w:rsidRPr="00AD4B4F" w:rsidRDefault="00704326">
              <w:pPr>
                <w:pStyle w:val="TOC2"/>
                <w:tabs>
                  <w:tab w:val="right" w:leader="dot" w:pos="21590"/>
                </w:tabs>
                <w:rPr>
                  <w:rFonts w:asciiTheme="minorHAnsi" w:eastAsiaTheme="minorEastAsia" w:hAnsiTheme="minorHAnsi" w:cstheme="minorBidi"/>
                  <w:noProof/>
                </w:rPr>
              </w:pPr>
              <w:hyperlink w:anchor="_Toc127268194" w:history="1">
                <w:r w:rsidR="00291F9C" w:rsidRPr="00AD4B4F">
                  <w:rPr>
                    <w:rStyle w:val="Hyperlink"/>
                    <w:noProof/>
                  </w:rPr>
                  <w:t>CR-10 - Racial and Ethnic composition of families assisted</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_Toc127268194 \h </w:instrText>
                </w:r>
                <w:r w:rsidR="00291F9C" w:rsidRPr="00AD4B4F">
                  <w:rPr>
                    <w:noProof/>
                    <w:webHidden/>
                  </w:rPr>
                </w:r>
                <w:r w:rsidR="00291F9C" w:rsidRPr="00AD4B4F">
                  <w:rPr>
                    <w:noProof/>
                    <w:webHidden/>
                  </w:rPr>
                  <w:fldChar w:fldCharType="separate"/>
                </w:r>
                <w:r w:rsidR="00291F9C" w:rsidRPr="00AD4B4F">
                  <w:rPr>
                    <w:noProof/>
                    <w:webHidden/>
                  </w:rPr>
                  <w:t>5</w:t>
                </w:r>
                <w:r w:rsidR="00291F9C" w:rsidRPr="00AD4B4F">
                  <w:rPr>
                    <w:noProof/>
                    <w:webHidden/>
                  </w:rPr>
                  <w:fldChar w:fldCharType="end"/>
                </w:r>
              </w:hyperlink>
            </w:p>
            <w:p w14:paraId="37E3CD60" w14:textId="1DD31C74" w:rsidR="00291F9C" w:rsidRPr="00AD4B4F" w:rsidRDefault="00704326">
              <w:pPr>
                <w:pStyle w:val="TOC2"/>
                <w:tabs>
                  <w:tab w:val="right" w:leader="dot" w:pos="21590"/>
                </w:tabs>
                <w:rPr>
                  <w:rFonts w:asciiTheme="minorHAnsi" w:eastAsiaTheme="minorEastAsia" w:hAnsiTheme="minorHAnsi" w:cstheme="minorBidi"/>
                  <w:noProof/>
                </w:rPr>
              </w:pPr>
              <w:hyperlink w:anchor="_Toc127268195" w:history="1">
                <w:r w:rsidR="00291F9C" w:rsidRPr="00AD4B4F">
                  <w:rPr>
                    <w:rStyle w:val="Hyperlink"/>
                    <w:noProof/>
                  </w:rPr>
                  <w:t>CR-15 - Resources and Investments 91.520(a)</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_Toc127268195 \h </w:instrText>
                </w:r>
                <w:r w:rsidR="00291F9C" w:rsidRPr="00AD4B4F">
                  <w:rPr>
                    <w:noProof/>
                    <w:webHidden/>
                  </w:rPr>
                </w:r>
                <w:r w:rsidR="00291F9C" w:rsidRPr="00AD4B4F">
                  <w:rPr>
                    <w:noProof/>
                    <w:webHidden/>
                  </w:rPr>
                  <w:fldChar w:fldCharType="separate"/>
                </w:r>
                <w:r w:rsidR="00291F9C" w:rsidRPr="00AD4B4F">
                  <w:rPr>
                    <w:noProof/>
                    <w:webHidden/>
                  </w:rPr>
                  <w:t>7</w:t>
                </w:r>
                <w:r w:rsidR="00291F9C" w:rsidRPr="00AD4B4F">
                  <w:rPr>
                    <w:noProof/>
                    <w:webHidden/>
                  </w:rPr>
                  <w:fldChar w:fldCharType="end"/>
                </w:r>
              </w:hyperlink>
            </w:p>
            <w:p w14:paraId="394AAE26" w14:textId="56F70C26" w:rsidR="00291F9C" w:rsidRPr="00AD4B4F" w:rsidRDefault="00704326">
              <w:pPr>
                <w:pStyle w:val="TOC2"/>
                <w:tabs>
                  <w:tab w:val="right" w:leader="dot" w:pos="21590"/>
                </w:tabs>
                <w:rPr>
                  <w:rFonts w:asciiTheme="minorHAnsi" w:eastAsiaTheme="minorEastAsia" w:hAnsiTheme="minorHAnsi" w:cstheme="minorBidi"/>
                  <w:noProof/>
                </w:rPr>
              </w:pPr>
              <w:hyperlink w:anchor="_Toc127268196" w:history="1">
                <w:r w:rsidR="00291F9C" w:rsidRPr="00AD4B4F">
                  <w:rPr>
                    <w:rStyle w:val="Hyperlink"/>
                    <w:noProof/>
                  </w:rPr>
                  <w:t>CR-20 - Affordable Housing 91.520(b)</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_Toc127268196 \h </w:instrText>
                </w:r>
                <w:r w:rsidR="00291F9C" w:rsidRPr="00AD4B4F">
                  <w:rPr>
                    <w:noProof/>
                    <w:webHidden/>
                  </w:rPr>
                </w:r>
                <w:r w:rsidR="00291F9C" w:rsidRPr="00AD4B4F">
                  <w:rPr>
                    <w:noProof/>
                    <w:webHidden/>
                  </w:rPr>
                  <w:fldChar w:fldCharType="separate"/>
                </w:r>
                <w:r w:rsidR="00291F9C" w:rsidRPr="00AD4B4F">
                  <w:rPr>
                    <w:noProof/>
                    <w:webHidden/>
                  </w:rPr>
                  <w:t>13</w:t>
                </w:r>
                <w:r w:rsidR="00291F9C" w:rsidRPr="00AD4B4F">
                  <w:rPr>
                    <w:noProof/>
                    <w:webHidden/>
                  </w:rPr>
                  <w:fldChar w:fldCharType="end"/>
                </w:r>
              </w:hyperlink>
            </w:p>
            <w:p w14:paraId="0107AC38" w14:textId="2E50F9C9" w:rsidR="00291F9C" w:rsidRPr="00AD4B4F" w:rsidRDefault="00704326">
              <w:pPr>
                <w:pStyle w:val="TOC2"/>
                <w:tabs>
                  <w:tab w:val="right" w:leader="dot" w:pos="21590"/>
                </w:tabs>
                <w:rPr>
                  <w:rFonts w:asciiTheme="minorHAnsi" w:eastAsiaTheme="minorEastAsia" w:hAnsiTheme="minorHAnsi" w:cstheme="minorBidi"/>
                  <w:noProof/>
                </w:rPr>
              </w:pPr>
              <w:hyperlink w:anchor="_Toc127268197" w:history="1">
                <w:r w:rsidR="00291F9C" w:rsidRPr="00AD4B4F">
                  <w:rPr>
                    <w:rStyle w:val="Hyperlink"/>
                    <w:noProof/>
                  </w:rPr>
                  <w:t>CR-25 - Homeless and Other Special Needs 91.220(d, e); 91.320(d, e); 91.520(c)</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_Toc127268197 \h </w:instrText>
                </w:r>
                <w:r w:rsidR="00291F9C" w:rsidRPr="00AD4B4F">
                  <w:rPr>
                    <w:noProof/>
                    <w:webHidden/>
                  </w:rPr>
                </w:r>
                <w:r w:rsidR="00291F9C" w:rsidRPr="00AD4B4F">
                  <w:rPr>
                    <w:noProof/>
                    <w:webHidden/>
                  </w:rPr>
                  <w:fldChar w:fldCharType="separate"/>
                </w:r>
                <w:r w:rsidR="00291F9C" w:rsidRPr="00AD4B4F">
                  <w:rPr>
                    <w:noProof/>
                    <w:webHidden/>
                  </w:rPr>
                  <w:t>15</w:t>
                </w:r>
                <w:r w:rsidR="00291F9C" w:rsidRPr="00AD4B4F">
                  <w:rPr>
                    <w:noProof/>
                    <w:webHidden/>
                  </w:rPr>
                  <w:fldChar w:fldCharType="end"/>
                </w:r>
              </w:hyperlink>
            </w:p>
            <w:p w14:paraId="1E668D9A" w14:textId="7387C67D" w:rsidR="00291F9C" w:rsidRPr="00AD4B4F" w:rsidRDefault="00704326">
              <w:pPr>
                <w:pStyle w:val="TOC2"/>
                <w:tabs>
                  <w:tab w:val="right" w:leader="dot" w:pos="21590"/>
                </w:tabs>
                <w:rPr>
                  <w:rFonts w:asciiTheme="minorHAnsi" w:eastAsiaTheme="minorEastAsia" w:hAnsiTheme="minorHAnsi" w:cstheme="minorBidi"/>
                  <w:noProof/>
                </w:rPr>
              </w:pPr>
              <w:hyperlink w:anchor="_Toc127268198" w:history="1">
                <w:r w:rsidR="00291F9C" w:rsidRPr="00AD4B4F">
                  <w:rPr>
                    <w:rStyle w:val="Hyperlink"/>
                    <w:noProof/>
                  </w:rPr>
                  <w:t>CR-30 - Public Housing 91.220(h); 91.320(j)</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_Toc127268198 \h </w:instrText>
                </w:r>
                <w:r w:rsidR="00291F9C" w:rsidRPr="00AD4B4F">
                  <w:rPr>
                    <w:noProof/>
                    <w:webHidden/>
                  </w:rPr>
                </w:r>
                <w:r w:rsidR="00291F9C" w:rsidRPr="00AD4B4F">
                  <w:rPr>
                    <w:noProof/>
                    <w:webHidden/>
                  </w:rPr>
                  <w:fldChar w:fldCharType="separate"/>
                </w:r>
                <w:r w:rsidR="00291F9C" w:rsidRPr="00AD4B4F">
                  <w:rPr>
                    <w:noProof/>
                    <w:webHidden/>
                  </w:rPr>
                  <w:t>17</w:t>
                </w:r>
                <w:r w:rsidR="00291F9C" w:rsidRPr="00AD4B4F">
                  <w:rPr>
                    <w:noProof/>
                    <w:webHidden/>
                  </w:rPr>
                  <w:fldChar w:fldCharType="end"/>
                </w:r>
              </w:hyperlink>
            </w:p>
            <w:p w14:paraId="5F531BB2" w14:textId="287C0F40" w:rsidR="00291F9C" w:rsidRPr="00AD4B4F" w:rsidRDefault="00704326">
              <w:pPr>
                <w:pStyle w:val="TOC2"/>
                <w:tabs>
                  <w:tab w:val="right" w:leader="dot" w:pos="21590"/>
                </w:tabs>
                <w:rPr>
                  <w:rFonts w:asciiTheme="minorHAnsi" w:eastAsiaTheme="minorEastAsia" w:hAnsiTheme="minorHAnsi" w:cstheme="minorBidi"/>
                  <w:noProof/>
                </w:rPr>
              </w:pPr>
              <w:hyperlink w:anchor="_Toc127268199" w:history="1">
                <w:r w:rsidR="00291F9C" w:rsidRPr="00AD4B4F">
                  <w:rPr>
                    <w:rStyle w:val="Hyperlink"/>
                    <w:noProof/>
                  </w:rPr>
                  <w:t>CR-35 - Other Actions 91.220(j)-(k); 91.320(i)-(j)</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_Toc127268199 \h </w:instrText>
                </w:r>
                <w:r w:rsidR="00291F9C" w:rsidRPr="00AD4B4F">
                  <w:rPr>
                    <w:noProof/>
                    <w:webHidden/>
                  </w:rPr>
                </w:r>
                <w:r w:rsidR="00291F9C" w:rsidRPr="00AD4B4F">
                  <w:rPr>
                    <w:noProof/>
                    <w:webHidden/>
                  </w:rPr>
                  <w:fldChar w:fldCharType="separate"/>
                </w:r>
                <w:r w:rsidR="00291F9C" w:rsidRPr="00AD4B4F">
                  <w:rPr>
                    <w:noProof/>
                    <w:webHidden/>
                  </w:rPr>
                  <w:t>18</w:t>
                </w:r>
                <w:r w:rsidR="00291F9C" w:rsidRPr="00AD4B4F">
                  <w:rPr>
                    <w:noProof/>
                    <w:webHidden/>
                  </w:rPr>
                  <w:fldChar w:fldCharType="end"/>
                </w:r>
              </w:hyperlink>
            </w:p>
            <w:p w14:paraId="125A5D56" w14:textId="052C9BB4" w:rsidR="00291F9C" w:rsidRPr="00AD4B4F" w:rsidRDefault="00704326">
              <w:pPr>
                <w:pStyle w:val="TOC2"/>
                <w:tabs>
                  <w:tab w:val="right" w:leader="dot" w:pos="21590"/>
                </w:tabs>
                <w:rPr>
                  <w:rFonts w:asciiTheme="minorHAnsi" w:eastAsiaTheme="minorEastAsia" w:hAnsiTheme="minorHAnsi" w:cstheme="minorBidi"/>
                  <w:noProof/>
                </w:rPr>
              </w:pPr>
              <w:hyperlink w:anchor="_Toc127268200" w:history="1">
                <w:r w:rsidR="00291F9C" w:rsidRPr="00AD4B4F">
                  <w:rPr>
                    <w:rStyle w:val="Hyperlink"/>
                    <w:noProof/>
                  </w:rPr>
                  <w:t>CR-40 - Monitoring 91.220 and 91.230</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_Toc127268200 \h </w:instrText>
                </w:r>
                <w:r w:rsidR="00291F9C" w:rsidRPr="00AD4B4F">
                  <w:rPr>
                    <w:noProof/>
                    <w:webHidden/>
                  </w:rPr>
                </w:r>
                <w:r w:rsidR="00291F9C" w:rsidRPr="00AD4B4F">
                  <w:rPr>
                    <w:noProof/>
                    <w:webHidden/>
                  </w:rPr>
                  <w:fldChar w:fldCharType="separate"/>
                </w:r>
                <w:r w:rsidR="00291F9C" w:rsidRPr="00AD4B4F">
                  <w:rPr>
                    <w:noProof/>
                    <w:webHidden/>
                  </w:rPr>
                  <w:t>20</w:t>
                </w:r>
                <w:r w:rsidR="00291F9C" w:rsidRPr="00AD4B4F">
                  <w:rPr>
                    <w:noProof/>
                    <w:webHidden/>
                  </w:rPr>
                  <w:fldChar w:fldCharType="end"/>
                </w:r>
              </w:hyperlink>
            </w:p>
            <w:p w14:paraId="2FBB69FC" w14:textId="23872C0A" w:rsidR="00291F9C" w:rsidRPr="00AD4B4F" w:rsidRDefault="00704326">
              <w:pPr>
                <w:pStyle w:val="TOC2"/>
                <w:tabs>
                  <w:tab w:val="right" w:leader="dot" w:pos="21590"/>
                </w:tabs>
                <w:rPr>
                  <w:rFonts w:asciiTheme="minorHAnsi" w:eastAsiaTheme="minorEastAsia" w:hAnsiTheme="minorHAnsi" w:cstheme="minorBidi"/>
                  <w:noProof/>
                </w:rPr>
              </w:pPr>
              <w:hyperlink w:anchor="_Toc127268201" w:history="1">
                <w:r w:rsidR="00291F9C" w:rsidRPr="00AD4B4F">
                  <w:rPr>
                    <w:rStyle w:val="Hyperlink"/>
                    <w:rFonts w:cs="Arial"/>
                    <w:b/>
                    <w:bCs/>
                    <w:iCs/>
                    <w:noProof/>
                  </w:rPr>
                  <w:t>CR-45 - CDBG 91.520(c)</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_Toc127268201 \h </w:instrText>
                </w:r>
                <w:r w:rsidR="00291F9C" w:rsidRPr="00AD4B4F">
                  <w:rPr>
                    <w:noProof/>
                    <w:webHidden/>
                  </w:rPr>
                </w:r>
                <w:r w:rsidR="00291F9C" w:rsidRPr="00AD4B4F">
                  <w:rPr>
                    <w:noProof/>
                    <w:webHidden/>
                  </w:rPr>
                  <w:fldChar w:fldCharType="separate"/>
                </w:r>
                <w:r w:rsidR="00291F9C" w:rsidRPr="00AD4B4F">
                  <w:rPr>
                    <w:noProof/>
                    <w:webHidden/>
                  </w:rPr>
                  <w:t>22</w:t>
                </w:r>
                <w:r w:rsidR="00291F9C" w:rsidRPr="00AD4B4F">
                  <w:rPr>
                    <w:noProof/>
                    <w:webHidden/>
                  </w:rPr>
                  <w:fldChar w:fldCharType="end"/>
                </w:r>
              </w:hyperlink>
            </w:p>
            <w:p w14:paraId="43DDB5CC" w14:textId="786EB81E" w:rsidR="00291F9C" w:rsidRPr="00AD4B4F" w:rsidRDefault="00704326">
              <w:pPr>
                <w:pStyle w:val="TOC2"/>
                <w:tabs>
                  <w:tab w:val="right" w:leader="dot" w:pos="21590"/>
                </w:tabs>
                <w:rPr>
                  <w:rFonts w:asciiTheme="minorHAnsi" w:eastAsiaTheme="minorEastAsia" w:hAnsiTheme="minorHAnsi" w:cstheme="minorBidi"/>
                  <w:noProof/>
                </w:rPr>
              </w:pPr>
              <w:hyperlink w:anchor="_Toc127268202" w:history="1">
                <w:r w:rsidR="00291F9C" w:rsidRPr="00AD4B4F">
                  <w:rPr>
                    <w:rStyle w:val="Hyperlink"/>
                    <w:noProof/>
                  </w:rPr>
                  <w:t>CR-50 - HOME 91.520(d)</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_Toc127268202 \h </w:instrText>
                </w:r>
                <w:r w:rsidR="00291F9C" w:rsidRPr="00AD4B4F">
                  <w:rPr>
                    <w:noProof/>
                    <w:webHidden/>
                  </w:rPr>
                </w:r>
                <w:r w:rsidR="00291F9C" w:rsidRPr="00AD4B4F">
                  <w:rPr>
                    <w:noProof/>
                    <w:webHidden/>
                  </w:rPr>
                  <w:fldChar w:fldCharType="separate"/>
                </w:r>
                <w:r w:rsidR="00291F9C" w:rsidRPr="00AD4B4F">
                  <w:rPr>
                    <w:noProof/>
                    <w:webHidden/>
                  </w:rPr>
                  <w:t>23</w:t>
                </w:r>
                <w:r w:rsidR="00291F9C" w:rsidRPr="00AD4B4F">
                  <w:rPr>
                    <w:noProof/>
                    <w:webHidden/>
                  </w:rPr>
                  <w:fldChar w:fldCharType="end"/>
                </w:r>
              </w:hyperlink>
            </w:p>
            <w:p w14:paraId="2B94375D" w14:textId="44AC387A" w:rsidR="00291F9C" w:rsidRPr="00AD4B4F" w:rsidRDefault="00704326">
              <w:pPr>
                <w:pStyle w:val="TOC2"/>
                <w:tabs>
                  <w:tab w:val="right" w:leader="dot" w:pos="21590"/>
                </w:tabs>
                <w:rPr>
                  <w:rFonts w:asciiTheme="minorHAnsi" w:eastAsiaTheme="minorEastAsia" w:hAnsiTheme="minorHAnsi" w:cstheme="minorBidi"/>
                  <w:noProof/>
                </w:rPr>
              </w:pPr>
              <w:hyperlink w:anchor="_Toc127268203" w:history="1">
                <w:r w:rsidR="00291F9C" w:rsidRPr="00AD4B4F">
                  <w:rPr>
                    <w:rStyle w:val="Hyperlink"/>
                    <w:noProof/>
                  </w:rPr>
                  <w:t>CR-58 – Section 3</w:t>
                </w:r>
                <w:r w:rsidR="00291F9C" w:rsidRPr="00AD4B4F">
                  <w:rPr>
                    <w:noProof/>
                    <w:webHidden/>
                  </w:rPr>
                  <w:tab/>
                </w:r>
                <w:r w:rsidR="00291F9C" w:rsidRPr="00AD4B4F">
                  <w:rPr>
                    <w:noProof/>
                    <w:webHidden/>
                  </w:rPr>
                  <w:fldChar w:fldCharType="begin"/>
                </w:r>
                <w:r w:rsidR="00291F9C" w:rsidRPr="00AD4B4F">
                  <w:rPr>
                    <w:noProof/>
                    <w:webHidden/>
                  </w:rPr>
                  <w:instrText xml:space="preserve"> PAGEREF _Toc127268203 \h </w:instrText>
                </w:r>
                <w:r w:rsidR="00291F9C" w:rsidRPr="00AD4B4F">
                  <w:rPr>
                    <w:noProof/>
                    <w:webHidden/>
                  </w:rPr>
                </w:r>
                <w:r w:rsidR="00291F9C" w:rsidRPr="00AD4B4F">
                  <w:rPr>
                    <w:noProof/>
                    <w:webHidden/>
                  </w:rPr>
                  <w:fldChar w:fldCharType="separate"/>
                </w:r>
                <w:r w:rsidR="00291F9C" w:rsidRPr="00AD4B4F">
                  <w:rPr>
                    <w:noProof/>
                    <w:webHidden/>
                  </w:rPr>
                  <w:t>25</w:t>
                </w:r>
                <w:r w:rsidR="00291F9C" w:rsidRPr="00AD4B4F">
                  <w:rPr>
                    <w:noProof/>
                    <w:webHidden/>
                  </w:rPr>
                  <w:fldChar w:fldCharType="end"/>
                </w:r>
              </w:hyperlink>
            </w:p>
            <w:p w14:paraId="7842F462" w14:textId="701CC5F8" w:rsidR="00291F9C" w:rsidRPr="00AD4B4F" w:rsidRDefault="00291F9C">
              <w:r w:rsidRPr="00AD4B4F">
                <w:rPr>
                  <w:b/>
                  <w:bCs/>
                  <w:noProof/>
                </w:rPr>
                <w:fldChar w:fldCharType="end"/>
              </w:r>
            </w:p>
          </w:sdtContent>
        </w:sdt>
        <w:p w14:paraId="51F62761" w14:textId="0824B49A" w:rsidR="00291F9C" w:rsidRPr="00AD4B4F" w:rsidRDefault="00291F9C">
          <w:pPr>
            <w:spacing w:after="0" w:line="240" w:lineRule="auto"/>
            <w:rPr>
              <w:i/>
            </w:rPr>
          </w:pPr>
        </w:p>
        <w:p w14:paraId="5A092A02" w14:textId="77777777" w:rsidR="00291F9C" w:rsidRPr="00AD4B4F" w:rsidRDefault="00291F9C">
          <w:pPr>
            <w:spacing w:after="0" w:line="240" w:lineRule="auto"/>
            <w:rPr>
              <w:rFonts w:cs="Arial"/>
              <w:b/>
              <w:bCs/>
              <w:iCs/>
              <w:sz w:val="28"/>
              <w:szCs w:val="28"/>
            </w:rPr>
          </w:pPr>
          <w:r w:rsidRPr="00AD4B4F">
            <w:rPr>
              <w:rFonts w:cs="Arial"/>
              <w:b/>
              <w:bCs/>
              <w:iCs/>
              <w:sz w:val="28"/>
              <w:szCs w:val="28"/>
            </w:rPr>
            <w:br w:type="page"/>
          </w:r>
        </w:p>
        <w:p w14:paraId="36C2D483" w14:textId="049EC571" w:rsidR="00C22979" w:rsidRPr="00AD4B4F" w:rsidRDefault="00704326">
          <w:pPr>
            <w:spacing w:after="0" w:line="240" w:lineRule="auto"/>
            <w:rPr>
              <w:rFonts w:cs="Arial"/>
              <w:b/>
              <w:bCs/>
              <w:iCs/>
              <w:sz w:val="28"/>
              <w:szCs w:val="28"/>
            </w:rPr>
          </w:pPr>
        </w:p>
      </w:sdtContent>
    </w:sdt>
    <w:p w14:paraId="76CBB440" w14:textId="5E09BDCA" w:rsidR="0023288C" w:rsidRPr="00AD4B4F" w:rsidRDefault="00202916">
      <w:pPr>
        <w:pStyle w:val="Heading2"/>
        <w:rPr>
          <w:rFonts w:ascii="Calibri" w:hAnsi="Calibri"/>
          <w:i w:val="0"/>
        </w:rPr>
      </w:pPr>
      <w:bookmarkStart w:id="0" w:name="_Toc127268193"/>
      <w:r w:rsidRPr="00AD4B4F">
        <w:rPr>
          <w:rFonts w:ascii="Calibri" w:hAnsi="Calibri"/>
          <w:i w:val="0"/>
        </w:rPr>
        <w:t>CR-05 - Goals and Outcomes</w:t>
      </w:r>
      <w:bookmarkEnd w:id="0"/>
    </w:p>
    <w:p w14:paraId="7FCEEBCA" w14:textId="77777777" w:rsidR="0023288C" w:rsidRPr="00AD4B4F" w:rsidRDefault="00202916">
      <w:pPr>
        <w:keepNext/>
        <w:widowControl w:val="0"/>
        <w:spacing w:after="0" w:line="240" w:lineRule="auto"/>
        <w:rPr>
          <w:b/>
          <w:sz w:val="28"/>
          <w:szCs w:val="28"/>
        </w:rPr>
      </w:pPr>
      <w:r w:rsidRPr="00AD4B4F">
        <w:rPr>
          <w:b/>
          <w:sz w:val="24"/>
          <w:szCs w:val="24"/>
        </w:rPr>
        <w:t>Progress the jurisdiction has made in carrying out its strategic plan and its action plan.  91.520(a)</w:t>
      </w:r>
      <w:r w:rsidRPr="00AD4B4F">
        <w:rPr>
          <w:b/>
          <w:sz w:val="28"/>
          <w:szCs w:val="28"/>
        </w:rPr>
        <w:t xml:space="preserve"> </w:t>
      </w:r>
    </w:p>
    <w:p w14:paraId="40389DFE" w14:textId="77777777" w:rsidR="0023288C" w:rsidRPr="00AD4B4F" w:rsidRDefault="00202916">
      <w:pPr>
        <w:keepNext/>
        <w:widowControl w:val="0"/>
        <w:spacing w:after="0" w:line="240" w:lineRule="auto"/>
      </w:pPr>
      <w:r w:rsidRPr="00AD4B4F">
        <w:t>This could be an overview that includes major initiatives and highlights that were proposed and executed throughout the program year.</w:t>
      </w:r>
    </w:p>
    <w:p w14:paraId="332B249F" w14:textId="77777777" w:rsidR="003C62D1" w:rsidRPr="00AD4B4F" w:rsidRDefault="003C62D1">
      <w:pPr>
        <w:keepNext/>
        <w:widowControl w:val="0"/>
        <w:spacing w:after="0" w:line="240" w:lineRule="auto"/>
        <w:rPr>
          <w:b/>
        </w:rPr>
      </w:pPr>
    </w:p>
    <w:p w14:paraId="6588FE23" w14:textId="77777777" w:rsidR="0023288C" w:rsidRPr="00AD4B4F" w:rsidRDefault="00202916">
      <w:pPr>
        <w:keepNext/>
        <w:widowControl w:val="0"/>
        <w:spacing w:after="0" w:line="240" w:lineRule="auto"/>
        <w:rPr>
          <w:b/>
          <w:sz w:val="24"/>
          <w:szCs w:val="24"/>
        </w:rPr>
      </w:pPr>
      <w:r w:rsidRPr="00AD4B4F">
        <w:rPr>
          <w:b/>
          <w:sz w:val="24"/>
          <w:szCs w:val="24"/>
        </w:rPr>
        <w:t>Comparison of the proposed versus actual outcomes for each outcome measure submitted with the consolidated plan and explain, if applicable, why progress was not made toward meeting goals and objectives.  91.520(g)</w:t>
      </w:r>
    </w:p>
    <w:p w14:paraId="538A7A94" w14:textId="77777777" w:rsidR="0023288C" w:rsidRPr="00AD4B4F" w:rsidRDefault="00202916">
      <w:pPr>
        <w:keepNext/>
        <w:widowControl w:val="0"/>
        <w:spacing w:after="0" w:line="240" w:lineRule="auto"/>
        <w:rPr>
          <w:szCs w:val="24"/>
        </w:rPr>
      </w:pPr>
      <w:r w:rsidRPr="00AD4B4F">
        <w:t>Categories, priority levels, funding sources and amounts, outcomes/objectives, goal outcome indicators, units of measure, targets, actual outcomes/outputs, and percentage completed for each of the grantee’s program year goals.</w:t>
      </w:r>
    </w:p>
    <w:p w14:paraId="028D4EE5" w14:textId="77777777" w:rsidR="0023288C" w:rsidRPr="00AD4B4F" w:rsidRDefault="0023288C">
      <w:pPr>
        <w:widowControl w:val="0"/>
        <w:rPr>
          <w:b/>
          <w:sz w:val="24"/>
          <w:szCs w:val="24"/>
        </w:rPr>
      </w:pPr>
    </w:p>
    <w:tbl>
      <w:tblPr>
        <w:tblStyle w:val="TableGrid"/>
        <w:tblW w:w="15231" w:type="dxa"/>
        <w:tblInd w:w="0" w:type="dxa"/>
        <w:tblLook w:val="04A0" w:firstRow="1" w:lastRow="0" w:firstColumn="1" w:lastColumn="0" w:noHBand="0" w:noVBand="1"/>
      </w:tblPr>
      <w:tblGrid>
        <w:gridCol w:w="3213"/>
        <w:gridCol w:w="1427"/>
        <w:gridCol w:w="892"/>
        <w:gridCol w:w="2435"/>
        <w:gridCol w:w="1264"/>
        <w:gridCol w:w="975"/>
        <w:gridCol w:w="948"/>
        <w:gridCol w:w="1153"/>
        <w:gridCol w:w="975"/>
        <w:gridCol w:w="929"/>
        <w:gridCol w:w="1020"/>
      </w:tblGrid>
      <w:tr w:rsidR="0023288C" w:rsidRPr="00AD4B4F" w14:paraId="1A1F6490" w14:textId="77777777" w:rsidTr="002F70C2">
        <w:tc>
          <w:tcPr>
            <w:tcW w:w="3213" w:type="dxa"/>
          </w:tcPr>
          <w:p w14:paraId="481FED51" w14:textId="77777777" w:rsidR="0023288C" w:rsidRPr="00AD4B4F" w:rsidRDefault="00202916">
            <w:pPr>
              <w:keepNext/>
              <w:widowControl w:val="0"/>
              <w:spacing w:after="0" w:line="240" w:lineRule="auto"/>
              <w:rPr>
                <w:b/>
              </w:rPr>
            </w:pPr>
            <w:r w:rsidRPr="00AD4B4F">
              <w:rPr>
                <w:b/>
              </w:rPr>
              <w:t>Goal</w:t>
            </w:r>
          </w:p>
          <w:p w14:paraId="0218537A" w14:textId="5C446D3F" w:rsidR="00292BBA" w:rsidRPr="00AD4B4F" w:rsidRDefault="00292BBA" w:rsidP="00292BBA">
            <w:pPr>
              <w:ind w:firstLine="720"/>
            </w:pPr>
          </w:p>
        </w:tc>
        <w:tc>
          <w:tcPr>
            <w:tcW w:w="1427" w:type="dxa"/>
          </w:tcPr>
          <w:p w14:paraId="7A473035" w14:textId="77777777" w:rsidR="0023288C" w:rsidRPr="00AD4B4F" w:rsidRDefault="00202916">
            <w:pPr>
              <w:keepNext/>
              <w:widowControl w:val="0"/>
              <w:spacing w:after="0" w:line="240" w:lineRule="auto"/>
              <w:rPr>
                <w:b/>
              </w:rPr>
            </w:pPr>
            <w:r w:rsidRPr="00AD4B4F">
              <w:rPr>
                <w:b/>
              </w:rPr>
              <w:t>Category</w:t>
            </w:r>
          </w:p>
        </w:tc>
        <w:tc>
          <w:tcPr>
            <w:tcW w:w="892" w:type="dxa"/>
          </w:tcPr>
          <w:p w14:paraId="18115DA2" w14:textId="77777777" w:rsidR="0023288C" w:rsidRPr="00AD4B4F" w:rsidRDefault="00202916">
            <w:pPr>
              <w:keepNext/>
              <w:widowControl w:val="0"/>
              <w:spacing w:after="0" w:line="240" w:lineRule="auto"/>
              <w:rPr>
                <w:b/>
              </w:rPr>
            </w:pPr>
            <w:r w:rsidRPr="00AD4B4F">
              <w:rPr>
                <w:b/>
              </w:rPr>
              <w:t>Source / Amount</w:t>
            </w:r>
          </w:p>
        </w:tc>
        <w:tc>
          <w:tcPr>
            <w:tcW w:w="2435" w:type="dxa"/>
          </w:tcPr>
          <w:p w14:paraId="6D41CFEA" w14:textId="77777777" w:rsidR="0023288C" w:rsidRPr="00AD4B4F" w:rsidRDefault="00202916">
            <w:pPr>
              <w:keepNext/>
              <w:widowControl w:val="0"/>
              <w:spacing w:after="0" w:line="240" w:lineRule="auto"/>
              <w:rPr>
                <w:b/>
              </w:rPr>
            </w:pPr>
            <w:r w:rsidRPr="00AD4B4F">
              <w:rPr>
                <w:b/>
              </w:rPr>
              <w:t>Indicator</w:t>
            </w:r>
          </w:p>
        </w:tc>
        <w:tc>
          <w:tcPr>
            <w:tcW w:w="1264" w:type="dxa"/>
          </w:tcPr>
          <w:p w14:paraId="10D22977" w14:textId="77777777" w:rsidR="0023288C" w:rsidRPr="00AD4B4F" w:rsidRDefault="00202916">
            <w:pPr>
              <w:keepNext/>
              <w:widowControl w:val="0"/>
              <w:spacing w:after="0" w:line="240" w:lineRule="auto"/>
              <w:rPr>
                <w:b/>
              </w:rPr>
            </w:pPr>
            <w:r w:rsidRPr="00AD4B4F">
              <w:rPr>
                <w:b/>
              </w:rPr>
              <w:t>Unit of Measure</w:t>
            </w:r>
          </w:p>
        </w:tc>
        <w:tc>
          <w:tcPr>
            <w:tcW w:w="975" w:type="dxa"/>
          </w:tcPr>
          <w:p w14:paraId="698D6B9B" w14:textId="77777777" w:rsidR="0023288C" w:rsidRPr="00AD4B4F" w:rsidRDefault="00202916">
            <w:pPr>
              <w:keepNext/>
              <w:widowControl w:val="0"/>
              <w:spacing w:after="0" w:line="240" w:lineRule="auto"/>
              <w:rPr>
                <w:b/>
              </w:rPr>
            </w:pPr>
            <w:r w:rsidRPr="00AD4B4F">
              <w:rPr>
                <w:b/>
              </w:rPr>
              <w:t>Expected – Strategic Plan</w:t>
            </w:r>
          </w:p>
        </w:tc>
        <w:tc>
          <w:tcPr>
            <w:tcW w:w="948" w:type="dxa"/>
          </w:tcPr>
          <w:p w14:paraId="71660E0B" w14:textId="77777777" w:rsidR="0023288C" w:rsidRPr="00AD4B4F" w:rsidRDefault="00202916">
            <w:pPr>
              <w:keepNext/>
              <w:widowControl w:val="0"/>
              <w:spacing w:after="0" w:line="240" w:lineRule="auto"/>
              <w:rPr>
                <w:b/>
              </w:rPr>
            </w:pPr>
            <w:r w:rsidRPr="00AD4B4F">
              <w:rPr>
                <w:b/>
              </w:rPr>
              <w:t>Actual – Strategic Plan</w:t>
            </w:r>
          </w:p>
        </w:tc>
        <w:tc>
          <w:tcPr>
            <w:tcW w:w="1153" w:type="dxa"/>
          </w:tcPr>
          <w:p w14:paraId="7335BC0C" w14:textId="77777777" w:rsidR="0023288C" w:rsidRPr="00AD4B4F" w:rsidRDefault="00202916">
            <w:pPr>
              <w:keepNext/>
              <w:widowControl w:val="0"/>
              <w:spacing w:after="0" w:line="240" w:lineRule="auto"/>
              <w:rPr>
                <w:b/>
              </w:rPr>
            </w:pPr>
            <w:r w:rsidRPr="00AD4B4F">
              <w:rPr>
                <w:b/>
              </w:rPr>
              <w:t>Percent Complete</w:t>
            </w:r>
          </w:p>
        </w:tc>
        <w:tc>
          <w:tcPr>
            <w:tcW w:w="975" w:type="dxa"/>
          </w:tcPr>
          <w:p w14:paraId="6F7C0288" w14:textId="77777777" w:rsidR="0023288C" w:rsidRPr="00AD4B4F" w:rsidRDefault="00202916">
            <w:pPr>
              <w:keepNext/>
              <w:widowControl w:val="0"/>
              <w:spacing w:after="0" w:line="240" w:lineRule="auto"/>
              <w:rPr>
                <w:b/>
              </w:rPr>
            </w:pPr>
            <w:r w:rsidRPr="00AD4B4F">
              <w:rPr>
                <w:b/>
              </w:rPr>
              <w:t>Expected – Program Year</w:t>
            </w:r>
          </w:p>
        </w:tc>
        <w:tc>
          <w:tcPr>
            <w:tcW w:w="929" w:type="dxa"/>
          </w:tcPr>
          <w:p w14:paraId="037A0416" w14:textId="77777777" w:rsidR="0023288C" w:rsidRPr="00AD4B4F" w:rsidRDefault="00202916">
            <w:pPr>
              <w:keepNext/>
              <w:widowControl w:val="0"/>
              <w:spacing w:after="0" w:line="240" w:lineRule="auto"/>
              <w:rPr>
                <w:b/>
              </w:rPr>
            </w:pPr>
            <w:r w:rsidRPr="00AD4B4F">
              <w:rPr>
                <w:b/>
              </w:rPr>
              <w:t>Actual – Program Year</w:t>
            </w:r>
          </w:p>
        </w:tc>
        <w:tc>
          <w:tcPr>
            <w:tcW w:w="1020" w:type="dxa"/>
          </w:tcPr>
          <w:p w14:paraId="7AFB6A06" w14:textId="77777777" w:rsidR="0023288C" w:rsidRPr="00AD4B4F" w:rsidRDefault="00202916">
            <w:pPr>
              <w:keepNext/>
              <w:widowControl w:val="0"/>
              <w:spacing w:after="0" w:line="240" w:lineRule="auto"/>
              <w:rPr>
                <w:b/>
              </w:rPr>
            </w:pPr>
            <w:r w:rsidRPr="00AD4B4F">
              <w:rPr>
                <w:b/>
              </w:rPr>
              <w:t>Percent Complete</w:t>
            </w:r>
          </w:p>
        </w:tc>
      </w:tr>
      <w:tr w:rsidR="0023288C" w:rsidRPr="00AD4B4F" w14:paraId="1DD1D694" w14:textId="77777777" w:rsidTr="002F70C2">
        <w:trPr>
          <w:cantSplit/>
        </w:trPr>
        <w:tc>
          <w:tcPr>
            <w:tcW w:w="0" w:type="auto"/>
            <w:vAlign w:val="center"/>
          </w:tcPr>
          <w:p w14:paraId="4161AFDF" w14:textId="77777777" w:rsidR="0023288C" w:rsidRPr="002F70C2" w:rsidRDefault="00202916">
            <w:pPr>
              <w:spacing w:beforeAutospacing="1" w:afterAutospacing="1"/>
            </w:pPr>
            <w:r w:rsidRPr="002F70C2">
              <w:rPr>
                <w:color w:val="000000"/>
                <w:sz w:val="22"/>
              </w:rPr>
              <w:t>Acquisition/Rehabilitation/Resale</w:t>
            </w:r>
          </w:p>
        </w:tc>
        <w:tc>
          <w:tcPr>
            <w:tcW w:w="0" w:type="auto"/>
            <w:vAlign w:val="center"/>
          </w:tcPr>
          <w:p w14:paraId="5BA4C365"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5AE8DB2C" w14:textId="77777777" w:rsidR="0023288C" w:rsidRPr="00AD4B4F" w:rsidRDefault="00202916">
            <w:pPr>
              <w:spacing w:beforeAutospacing="1" w:afterAutospacing="1"/>
            </w:pPr>
            <w:r w:rsidRPr="00AD4B4F">
              <w:rPr>
                <w:color w:val="000000"/>
                <w:sz w:val="22"/>
              </w:rPr>
              <w:t>CDBG: $</w:t>
            </w:r>
          </w:p>
        </w:tc>
        <w:tc>
          <w:tcPr>
            <w:tcW w:w="0" w:type="auto"/>
            <w:vAlign w:val="center"/>
          </w:tcPr>
          <w:p w14:paraId="322D0CE3" w14:textId="77777777" w:rsidR="0023288C" w:rsidRPr="00AD4B4F" w:rsidRDefault="00202916">
            <w:pPr>
              <w:spacing w:beforeAutospacing="1" w:afterAutospacing="1"/>
            </w:pPr>
            <w:r w:rsidRPr="00AD4B4F">
              <w:rPr>
                <w:color w:val="000000"/>
                <w:sz w:val="22"/>
              </w:rPr>
              <w:t>Homeowner Housing Added</w:t>
            </w:r>
          </w:p>
        </w:tc>
        <w:tc>
          <w:tcPr>
            <w:tcW w:w="0" w:type="auto"/>
            <w:vAlign w:val="center"/>
          </w:tcPr>
          <w:p w14:paraId="05543B82"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0B7B91F1" w14:textId="77777777" w:rsidR="0023288C" w:rsidRPr="00AD4B4F" w:rsidRDefault="00202916">
            <w:pPr>
              <w:spacing w:beforeAutospacing="1" w:afterAutospacing="1"/>
            </w:pPr>
            <w:r w:rsidRPr="00AD4B4F">
              <w:rPr>
                <w:color w:val="000000"/>
                <w:sz w:val="22"/>
              </w:rPr>
              <w:t>0</w:t>
            </w:r>
          </w:p>
        </w:tc>
        <w:tc>
          <w:tcPr>
            <w:tcW w:w="0" w:type="auto"/>
            <w:vAlign w:val="center"/>
          </w:tcPr>
          <w:p w14:paraId="1E9A885E" w14:textId="77777777" w:rsidR="0023288C" w:rsidRPr="00AD4B4F" w:rsidRDefault="00202916">
            <w:pPr>
              <w:spacing w:beforeAutospacing="1" w:afterAutospacing="1"/>
            </w:pPr>
            <w:r w:rsidRPr="00AD4B4F">
              <w:rPr>
                <w:color w:val="000000"/>
                <w:sz w:val="22"/>
              </w:rPr>
              <w:t>2</w:t>
            </w:r>
          </w:p>
        </w:tc>
        <w:tc>
          <w:tcPr>
            <w:tcW w:w="0" w:type="auto"/>
            <w:vAlign w:val="center"/>
          </w:tcPr>
          <w:p w14:paraId="296E525F"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085AC049" w14:textId="77777777" w:rsidR="0023288C" w:rsidRPr="00AD4B4F" w:rsidRDefault="00202916">
            <w:pPr>
              <w:spacing w:beforeAutospacing="1" w:afterAutospacing="1"/>
            </w:pPr>
            <w:r w:rsidRPr="00AD4B4F">
              <w:rPr>
                <w:color w:val="000000"/>
                <w:sz w:val="22"/>
              </w:rPr>
              <w:t>0</w:t>
            </w:r>
          </w:p>
        </w:tc>
        <w:tc>
          <w:tcPr>
            <w:tcW w:w="929" w:type="dxa"/>
            <w:vAlign w:val="center"/>
          </w:tcPr>
          <w:p w14:paraId="1C8F65B9" w14:textId="3A5BBCCE" w:rsidR="0023288C" w:rsidRPr="00AD4B4F" w:rsidRDefault="005637DD">
            <w:pPr>
              <w:spacing w:beforeAutospacing="1" w:afterAutospacing="1"/>
            </w:pPr>
            <w:r>
              <w:rPr>
                <w:color w:val="000000"/>
                <w:sz w:val="22"/>
              </w:rPr>
              <w:t>0</w:t>
            </w:r>
          </w:p>
        </w:tc>
        <w:tc>
          <w:tcPr>
            <w:tcW w:w="1020" w:type="dxa"/>
            <w:vAlign w:val="center"/>
          </w:tcPr>
          <w:p w14:paraId="443E1C56" w14:textId="77777777" w:rsidR="0023288C" w:rsidRPr="00AD4B4F" w:rsidRDefault="00202916">
            <w:pPr>
              <w:spacing w:beforeAutospacing="1" w:afterAutospacing="1"/>
            </w:pPr>
            <w:r w:rsidRPr="00AD4B4F">
              <w:rPr>
                <w:color w:val="000000"/>
                <w:sz w:val="22"/>
              </w:rPr>
              <w:t xml:space="preserve"> </w:t>
            </w:r>
          </w:p>
        </w:tc>
      </w:tr>
      <w:tr w:rsidR="0023288C" w:rsidRPr="00AD4B4F" w14:paraId="01B1DCB3" w14:textId="77777777" w:rsidTr="002F70C2">
        <w:trPr>
          <w:cantSplit/>
        </w:trPr>
        <w:tc>
          <w:tcPr>
            <w:tcW w:w="0" w:type="auto"/>
            <w:vAlign w:val="center"/>
          </w:tcPr>
          <w:p w14:paraId="16219C3F" w14:textId="77777777" w:rsidR="0023288C" w:rsidRPr="002F70C2" w:rsidRDefault="00202916">
            <w:pPr>
              <w:spacing w:beforeAutospacing="1" w:afterAutospacing="1"/>
            </w:pPr>
            <w:r w:rsidRPr="002F70C2">
              <w:rPr>
                <w:color w:val="000000"/>
                <w:sz w:val="22"/>
              </w:rPr>
              <w:t>Acquisition/Rehabilitation/Resale</w:t>
            </w:r>
          </w:p>
        </w:tc>
        <w:tc>
          <w:tcPr>
            <w:tcW w:w="0" w:type="auto"/>
            <w:vAlign w:val="center"/>
          </w:tcPr>
          <w:p w14:paraId="2273E45F"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530CCEED" w14:textId="77777777" w:rsidR="0023288C" w:rsidRPr="00AD4B4F" w:rsidRDefault="00202916">
            <w:pPr>
              <w:spacing w:beforeAutospacing="1" w:afterAutospacing="1"/>
            </w:pPr>
            <w:r w:rsidRPr="00AD4B4F">
              <w:rPr>
                <w:color w:val="000000"/>
                <w:sz w:val="22"/>
              </w:rPr>
              <w:t>CDBG: $</w:t>
            </w:r>
          </w:p>
        </w:tc>
        <w:tc>
          <w:tcPr>
            <w:tcW w:w="0" w:type="auto"/>
            <w:vAlign w:val="center"/>
          </w:tcPr>
          <w:p w14:paraId="2D6B3FB4" w14:textId="77777777" w:rsidR="0023288C" w:rsidRPr="00AD4B4F" w:rsidRDefault="00202916">
            <w:pPr>
              <w:spacing w:beforeAutospacing="1" w:afterAutospacing="1"/>
            </w:pPr>
            <w:r w:rsidRPr="00AD4B4F">
              <w:rPr>
                <w:color w:val="000000"/>
                <w:sz w:val="22"/>
              </w:rPr>
              <w:t>Homeowner Housing Rehabilitated</w:t>
            </w:r>
          </w:p>
        </w:tc>
        <w:tc>
          <w:tcPr>
            <w:tcW w:w="0" w:type="auto"/>
            <w:vAlign w:val="center"/>
          </w:tcPr>
          <w:p w14:paraId="06779B8F"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35977525" w14:textId="77777777" w:rsidR="0023288C" w:rsidRPr="00AD4B4F" w:rsidRDefault="00202916">
            <w:pPr>
              <w:spacing w:beforeAutospacing="1" w:afterAutospacing="1"/>
            </w:pPr>
            <w:r w:rsidRPr="00AD4B4F">
              <w:rPr>
                <w:color w:val="000000"/>
                <w:sz w:val="22"/>
              </w:rPr>
              <w:t>0</w:t>
            </w:r>
          </w:p>
        </w:tc>
        <w:tc>
          <w:tcPr>
            <w:tcW w:w="0" w:type="auto"/>
            <w:vAlign w:val="center"/>
          </w:tcPr>
          <w:p w14:paraId="0E75EF20" w14:textId="77777777" w:rsidR="0023288C" w:rsidRPr="00AD4B4F" w:rsidRDefault="00202916">
            <w:pPr>
              <w:spacing w:beforeAutospacing="1" w:afterAutospacing="1"/>
            </w:pPr>
            <w:r w:rsidRPr="00AD4B4F">
              <w:rPr>
                <w:color w:val="000000"/>
                <w:sz w:val="22"/>
              </w:rPr>
              <w:t>2</w:t>
            </w:r>
          </w:p>
        </w:tc>
        <w:tc>
          <w:tcPr>
            <w:tcW w:w="0" w:type="auto"/>
            <w:vAlign w:val="center"/>
          </w:tcPr>
          <w:p w14:paraId="5D635A91"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47965281" w14:textId="77777777" w:rsidR="0023288C" w:rsidRPr="00AD4B4F" w:rsidRDefault="00202916">
            <w:pPr>
              <w:spacing w:beforeAutospacing="1" w:afterAutospacing="1"/>
            </w:pPr>
            <w:r w:rsidRPr="00AD4B4F">
              <w:rPr>
                <w:color w:val="000000"/>
                <w:sz w:val="22"/>
              </w:rPr>
              <w:t>0</w:t>
            </w:r>
          </w:p>
        </w:tc>
        <w:tc>
          <w:tcPr>
            <w:tcW w:w="929" w:type="dxa"/>
            <w:vAlign w:val="center"/>
          </w:tcPr>
          <w:p w14:paraId="6CE7F2EE" w14:textId="43655DF9" w:rsidR="0023288C" w:rsidRPr="00AD4B4F" w:rsidRDefault="005637DD">
            <w:pPr>
              <w:spacing w:beforeAutospacing="1" w:afterAutospacing="1"/>
            </w:pPr>
            <w:r>
              <w:rPr>
                <w:color w:val="000000"/>
                <w:sz w:val="22"/>
              </w:rPr>
              <w:t>0</w:t>
            </w:r>
          </w:p>
        </w:tc>
        <w:tc>
          <w:tcPr>
            <w:tcW w:w="1020" w:type="dxa"/>
            <w:vAlign w:val="center"/>
          </w:tcPr>
          <w:p w14:paraId="195F8D06" w14:textId="77777777" w:rsidR="0023288C" w:rsidRPr="00AD4B4F" w:rsidRDefault="00202916">
            <w:pPr>
              <w:spacing w:beforeAutospacing="1" w:afterAutospacing="1"/>
            </w:pPr>
            <w:r w:rsidRPr="00AD4B4F">
              <w:rPr>
                <w:color w:val="000000"/>
                <w:sz w:val="22"/>
              </w:rPr>
              <w:t xml:space="preserve"> </w:t>
            </w:r>
          </w:p>
        </w:tc>
      </w:tr>
      <w:tr w:rsidR="0023288C" w:rsidRPr="00AD4B4F" w14:paraId="2B8401A2" w14:textId="77777777" w:rsidTr="002F70C2">
        <w:trPr>
          <w:cantSplit/>
        </w:trPr>
        <w:tc>
          <w:tcPr>
            <w:tcW w:w="0" w:type="auto"/>
            <w:vAlign w:val="center"/>
          </w:tcPr>
          <w:p w14:paraId="1F6C7760" w14:textId="77777777" w:rsidR="0023288C" w:rsidRPr="002F70C2" w:rsidRDefault="00202916">
            <w:pPr>
              <w:spacing w:beforeAutospacing="1" w:afterAutospacing="1"/>
            </w:pPr>
            <w:r w:rsidRPr="002F70C2">
              <w:rPr>
                <w:color w:val="000000"/>
                <w:sz w:val="22"/>
              </w:rPr>
              <w:t>Acquisition/Rehabilitation/Resale</w:t>
            </w:r>
          </w:p>
        </w:tc>
        <w:tc>
          <w:tcPr>
            <w:tcW w:w="0" w:type="auto"/>
            <w:vAlign w:val="center"/>
          </w:tcPr>
          <w:p w14:paraId="1F2C6822"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05A3AB0F" w14:textId="77777777" w:rsidR="0023288C" w:rsidRPr="00AD4B4F" w:rsidRDefault="00202916">
            <w:pPr>
              <w:spacing w:beforeAutospacing="1" w:afterAutospacing="1"/>
            </w:pPr>
            <w:r w:rsidRPr="00AD4B4F">
              <w:rPr>
                <w:color w:val="000000"/>
                <w:sz w:val="22"/>
              </w:rPr>
              <w:t>CDBG: $</w:t>
            </w:r>
          </w:p>
        </w:tc>
        <w:tc>
          <w:tcPr>
            <w:tcW w:w="0" w:type="auto"/>
            <w:vAlign w:val="center"/>
          </w:tcPr>
          <w:p w14:paraId="72E61598" w14:textId="77777777" w:rsidR="0023288C" w:rsidRPr="00AD4B4F" w:rsidRDefault="00202916">
            <w:pPr>
              <w:spacing w:beforeAutospacing="1" w:afterAutospacing="1"/>
            </w:pPr>
            <w:r w:rsidRPr="00AD4B4F">
              <w:rPr>
                <w:color w:val="000000"/>
                <w:sz w:val="22"/>
              </w:rPr>
              <w:t>Other</w:t>
            </w:r>
          </w:p>
        </w:tc>
        <w:tc>
          <w:tcPr>
            <w:tcW w:w="0" w:type="auto"/>
            <w:vAlign w:val="center"/>
          </w:tcPr>
          <w:p w14:paraId="7FD75C6E" w14:textId="77777777" w:rsidR="0023288C" w:rsidRPr="00AD4B4F" w:rsidRDefault="00202916">
            <w:pPr>
              <w:spacing w:beforeAutospacing="1" w:afterAutospacing="1"/>
            </w:pPr>
            <w:r w:rsidRPr="00AD4B4F">
              <w:rPr>
                <w:color w:val="000000"/>
                <w:sz w:val="22"/>
              </w:rPr>
              <w:t>Other</w:t>
            </w:r>
          </w:p>
        </w:tc>
        <w:tc>
          <w:tcPr>
            <w:tcW w:w="0" w:type="auto"/>
            <w:vAlign w:val="center"/>
          </w:tcPr>
          <w:p w14:paraId="0401DDAD" w14:textId="77777777" w:rsidR="0023288C" w:rsidRPr="00AD4B4F" w:rsidRDefault="00202916">
            <w:pPr>
              <w:spacing w:beforeAutospacing="1" w:afterAutospacing="1"/>
            </w:pPr>
            <w:r w:rsidRPr="00AD4B4F">
              <w:rPr>
                <w:color w:val="000000"/>
                <w:sz w:val="22"/>
              </w:rPr>
              <w:t>5</w:t>
            </w:r>
          </w:p>
        </w:tc>
        <w:tc>
          <w:tcPr>
            <w:tcW w:w="0" w:type="auto"/>
            <w:vAlign w:val="center"/>
          </w:tcPr>
          <w:p w14:paraId="56A1F71C" w14:textId="208E8253" w:rsidR="0023288C" w:rsidRPr="00AD4B4F" w:rsidRDefault="005637DD">
            <w:pPr>
              <w:spacing w:beforeAutospacing="1" w:afterAutospacing="1"/>
            </w:pPr>
            <w:r>
              <w:rPr>
                <w:color w:val="000000"/>
                <w:sz w:val="22"/>
              </w:rPr>
              <w:t>2</w:t>
            </w:r>
          </w:p>
        </w:tc>
        <w:tc>
          <w:tcPr>
            <w:tcW w:w="0" w:type="auto"/>
            <w:vAlign w:val="center"/>
          </w:tcPr>
          <w:p w14:paraId="1E91CF08" w14:textId="37B133EA" w:rsidR="0023288C" w:rsidRPr="00AD4B4F" w:rsidRDefault="00202916">
            <w:pPr>
              <w:spacing w:beforeAutospacing="1" w:afterAutospacing="1"/>
            </w:pPr>
            <w:r w:rsidRPr="00AD4B4F">
              <w:rPr>
                <w:color w:val="000000"/>
                <w:sz w:val="22"/>
              </w:rPr>
              <w:t xml:space="preserve"> </w:t>
            </w:r>
            <w:r w:rsidR="005637DD">
              <w:rPr>
                <w:color w:val="000000"/>
                <w:sz w:val="22"/>
              </w:rPr>
              <w:t>4</w:t>
            </w:r>
            <w:r w:rsidRPr="00AD4B4F">
              <w:rPr>
                <w:color w:val="000000"/>
                <w:sz w:val="22"/>
              </w:rPr>
              <w:t>0.00%</w:t>
            </w:r>
          </w:p>
        </w:tc>
        <w:tc>
          <w:tcPr>
            <w:tcW w:w="0" w:type="auto"/>
            <w:vAlign w:val="center"/>
          </w:tcPr>
          <w:p w14:paraId="5AC021EC" w14:textId="77777777" w:rsidR="0023288C" w:rsidRPr="00AD4B4F" w:rsidRDefault="00202916">
            <w:pPr>
              <w:spacing w:beforeAutospacing="1" w:afterAutospacing="1"/>
            </w:pPr>
            <w:r w:rsidRPr="00AD4B4F">
              <w:rPr>
                <w:color w:val="000000"/>
                <w:sz w:val="22"/>
              </w:rPr>
              <w:t>1</w:t>
            </w:r>
          </w:p>
        </w:tc>
        <w:tc>
          <w:tcPr>
            <w:tcW w:w="929" w:type="dxa"/>
            <w:vAlign w:val="center"/>
          </w:tcPr>
          <w:p w14:paraId="17E24788" w14:textId="124AF698" w:rsidR="0023288C" w:rsidRPr="00AD4B4F" w:rsidRDefault="005637DD">
            <w:pPr>
              <w:spacing w:beforeAutospacing="1" w:afterAutospacing="1"/>
            </w:pPr>
            <w:r>
              <w:rPr>
                <w:color w:val="000000"/>
                <w:sz w:val="22"/>
              </w:rPr>
              <w:t>2</w:t>
            </w:r>
          </w:p>
        </w:tc>
        <w:tc>
          <w:tcPr>
            <w:tcW w:w="1020" w:type="dxa"/>
            <w:vAlign w:val="center"/>
          </w:tcPr>
          <w:p w14:paraId="5EDEFC5A" w14:textId="5075C3F6" w:rsidR="0023288C" w:rsidRPr="00AD4B4F" w:rsidRDefault="005637DD">
            <w:pPr>
              <w:spacing w:beforeAutospacing="1" w:afterAutospacing="1"/>
            </w:pPr>
            <w:r>
              <w:rPr>
                <w:color w:val="000000"/>
                <w:sz w:val="22"/>
              </w:rPr>
              <w:t>20</w:t>
            </w:r>
            <w:r w:rsidR="00202916" w:rsidRPr="00AD4B4F">
              <w:rPr>
                <w:color w:val="000000"/>
                <w:sz w:val="22"/>
              </w:rPr>
              <w:t>0.00%</w:t>
            </w:r>
          </w:p>
        </w:tc>
      </w:tr>
      <w:tr w:rsidR="0023288C" w:rsidRPr="00AD4B4F" w14:paraId="2E3323FD" w14:textId="77777777" w:rsidTr="002F70C2">
        <w:trPr>
          <w:cantSplit/>
        </w:trPr>
        <w:tc>
          <w:tcPr>
            <w:tcW w:w="0" w:type="auto"/>
            <w:vAlign w:val="center"/>
          </w:tcPr>
          <w:p w14:paraId="023F5DC6" w14:textId="77777777" w:rsidR="0023288C" w:rsidRPr="002F70C2" w:rsidRDefault="00202916">
            <w:pPr>
              <w:spacing w:beforeAutospacing="1" w:afterAutospacing="1"/>
            </w:pPr>
            <w:r w:rsidRPr="002F70C2">
              <w:rPr>
                <w:color w:val="000000"/>
                <w:sz w:val="22"/>
              </w:rPr>
              <w:t>Code Enforcement</w:t>
            </w:r>
          </w:p>
        </w:tc>
        <w:tc>
          <w:tcPr>
            <w:tcW w:w="0" w:type="auto"/>
            <w:vAlign w:val="center"/>
          </w:tcPr>
          <w:p w14:paraId="53FD3811"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345CB46D" w14:textId="77777777" w:rsidR="0023288C" w:rsidRPr="00AD4B4F" w:rsidRDefault="00202916">
            <w:pPr>
              <w:spacing w:beforeAutospacing="1" w:afterAutospacing="1"/>
            </w:pPr>
            <w:r w:rsidRPr="00AD4B4F">
              <w:rPr>
                <w:color w:val="000000"/>
                <w:sz w:val="22"/>
              </w:rPr>
              <w:t>CDBG: $</w:t>
            </w:r>
          </w:p>
        </w:tc>
        <w:tc>
          <w:tcPr>
            <w:tcW w:w="0" w:type="auto"/>
            <w:vAlign w:val="center"/>
          </w:tcPr>
          <w:p w14:paraId="638298AE" w14:textId="77777777" w:rsidR="0023288C" w:rsidRPr="00AD4B4F" w:rsidRDefault="00202916">
            <w:pPr>
              <w:spacing w:beforeAutospacing="1" w:afterAutospacing="1"/>
            </w:pPr>
            <w:r w:rsidRPr="00AD4B4F">
              <w:rPr>
                <w:color w:val="000000"/>
                <w:sz w:val="22"/>
              </w:rPr>
              <w:t>Housing Code Enforcement/Foreclosed Property Care</w:t>
            </w:r>
          </w:p>
        </w:tc>
        <w:tc>
          <w:tcPr>
            <w:tcW w:w="0" w:type="auto"/>
            <w:vAlign w:val="center"/>
          </w:tcPr>
          <w:p w14:paraId="2428384F"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3604F429" w14:textId="77777777" w:rsidR="0023288C" w:rsidRPr="00AD4B4F" w:rsidRDefault="00202916">
            <w:pPr>
              <w:spacing w:beforeAutospacing="1" w:afterAutospacing="1"/>
            </w:pPr>
            <w:r w:rsidRPr="00AD4B4F">
              <w:rPr>
                <w:color w:val="000000"/>
                <w:sz w:val="22"/>
              </w:rPr>
              <w:t>6000</w:t>
            </w:r>
          </w:p>
        </w:tc>
        <w:tc>
          <w:tcPr>
            <w:tcW w:w="0" w:type="auto"/>
            <w:vAlign w:val="center"/>
          </w:tcPr>
          <w:p w14:paraId="77178AFA" w14:textId="77777777" w:rsidR="0023288C" w:rsidRPr="00AD4B4F" w:rsidRDefault="00202916">
            <w:pPr>
              <w:spacing w:beforeAutospacing="1" w:afterAutospacing="1"/>
            </w:pPr>
            <w:r w:rsidRPr="00AD4B4F">
              <w:rPr>
                <w:color w:val="000000"/>
                <w:sz w:val="22"/>
              </w:rPr>
              <w:t>8653</w:t>
            </w:r>
          </w:p>
        </w:tc>
        <w:tc>
          <w:tcPr>
            <w:tcW w:w="0" w:type="auto"/>
            <w:vAlign w:val="center"/>
          </w:tcPr>
          <w:p w14:paraId="5D3BA0F7" w14:textId="75C4E8DF" w:rsidR="0023288C" w:rsidRPr="00AD4B4F" w:rsidRDefault="00202916">
            <w:pPr>
              <w:spacing w:beforeAutospacing="1" w:afterAutospacing="1"/>
            </w:pPr>
            <w:r w:rsidRPr="00AD4B4F">
              <w:rPr>
                <w:color w:val="000000"/>
                <w:sz w:val="22"/>
              </w:rPr>
              <w:t xml:space="preserve"> 144.22%</w:t>
            </w:r>
          </w:p>
        </w:tc>
        <w:tc>
          <w:tcPr>
            <w:tcW w:w="0" w:type="auto"/>
            <w:vAlign w:val="center"/>
          </w:tcPr>
          <w:p w14:paraId="539AFF38" w14:textId="77777777" w:rsidR="0023288C" w:rsidRPr="00AD4B4F" w:rsidRDefault="00202916">
            <w:pPr>
              <w:spacing w:beforeAutospacing="1" w:afterAutospacing="1"/>
            </w:pPr>
            <w:r w:rsidRPr="00AD4B4F">
              <w:rPr>
                <w:color w:val="000000"/>
                <w:sz w:val="22"/>
              </w:rPr>
              <w:t>1200</w:t>
            </w:r>
          </w:p>
        </w:tc>
        <w:tc>
          <w:tcPr>
            <w:tcW w:w="929" w:type="dxa"/>
            <w:vAlign w:val="center"/>
          </w:tcPr>
          <w:p w14:paraId="7C3DD8DD" w14:textId="37CE4B19" w:rsidR="0023288C" w:rsidRPr="00AD4B4F" w:rsidRDefault="005637DD">
            <w:pPr>
              <w:spacing w:beforeAutospacing="1" w:afterAutospacing="1"/>
            </w:pPr>
            <w:r>
              <w:rPr>
                <w:color w:val="000000"/>
                <w:sz w:val="22"/>
              </w:rPr>
              <w:t>598</w:t>
            </w:r>
          </w:p>
        </w:tc>
        <w:tc>
          <w:tcPr>
            <w:tcW w:w="1020" w:type="dxa"/>
            <w:vAlign w:val="center"/>
          </w:tcPr>
          <w:p w14:paraId="6BB58819" w14:textId="01CBFCD0" w:rsidR="0023288C" w:rsidRPr="00AD4B4F" w:rsidRDefault="00202916">
            <w:pPr>
              <w:spacing w:beforeAutospacing="1" w:afterAutospacing="1"/>
            </w:pPr>
            <w:r w:rsidRPr="00AD4B4F">
              <w:rPr>
                <w:color w:val="000000"/>
                <w:sz w:val="22"/>
              </w:rPr>
              <w:t xml:space="preserve">  </w:t>
            </w:r>
            <w:r w:rsidR="005637DD">
              <w:rPr>
                <w:color w:val="000000"/>
                <w:sz w:val="22"/>
              </w:rPr>
              <w:t>49.83</w:t>
            </w:r>
            <w:r w:rsidRPr="00AD4B4F">
              <w:rPr>
                <w:color w:val="000000"/>
                <w:sz w:val="22"/>
              </w:rPr>
              <w:t>%</w:t>
            </w:r>
          </w:p>
        </w:tc>
      </w:tr>
      <w:tr w:rsidR="0023288C" w:rsidRPr="00AD4B4F" w14:paraId="1CAA386D" w14:textId="77777777" w:rsidTr="002F70C2">
        <w:trPr>
          <w:cantSplit/>
        </w:trPr>
        <w:tc>
          <w:tcPr>
            <w:tcW w:w="0" w:type="auto"/>
            <w:vAlign w:val="center"/>
          </w:tcPr>
          <w:p w14:paraId="7AF872F4" w14:textId="77777777" w:rsidR="0023288C" w:rsidRPr="002F70C2" w:rsidRDefault="00202916">
            <w:pPr>
              <w:spacing w:beforeAutospacing="1" w:afterAutospacing="1"/>
            </w:pPr>
            <w:r w:rsidRPr="002F70C2">
              <w:rPr>
                <w:color w:val="000000"/>
                <w:sz w:val="22"/>
              </w:rPr>
              <w:t>Create new, affordable rental housing</w:t>
            </w:r>
          </w:p>
        </w:tc>
        <w:tc>
          <w:tcPr>
            <w:tcW w:w="0" w:type="auto"/>
            <w:vAlign w:val="center"/>
          </w:tcPr>
          <w:p w14:paraId="285EF6E0"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5E31A925" w14:textId="77777777" w:rsidR="0023288C" w:rsidRPr="00AD4B4F" w:rsidRDefault="00202916">
            <w:pPr>
              <w:spacing w:beforeAutospacing="1" w:afterAutospacing="1"/>
            </w:pPr>
            <w:r w:rsidRPr="00AD4B4F">
              <w:rPr>
                <w:color w:val="000000"/>
                <w:sz w:val="22"/>
              </w:rPr>
              <w:t>HOME: $</w:t>
            </w:r>
          </w:p>
        </w:tc>
        <w:tc>
          <w:tcPr>
            <w:tcW w:w="0" w:type="auto"/>
            <w:vAlign w:val="center"/>
          </w:tcPr>
          <w:p w14:paraId="3232CC01" w14:textId="77777777" w:rsidR="0023288C" w:rsidRPr="00AD4B4F" w:rsidRDefault="00202916">
            <w:pPr>
              <w:spacing w:beforeAutospacing="1" w:afterAutospacing="1"/>
            </w:pPr>
            <w:r w:rsidRPr="00AD4B4F">
              <w:rPr>
                <w:color w:val="000000"/>
                <w:sz w:val="22"/>
              </w:rPr>
              <w:t>Rental units constructed</w:t>
            </w:r>
          </w:p>
        </w:tc>
        <w:tc>
          <w:tcPr>
            <w:tcW w:w="0" w:type="auto"/>
            <w:vAlign w:val="center"/>
          </w:tcPr>
          <w:p w14:paraId="61C91ADA"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7B180AE3" w14:textId="77777777" w:rsidR="0023288C" w:rsidRPr="00AD4B4F" w:rsidRDefault="00202916">
            <w:pPr>
              <w:spacing w:beforeAutospacing="1" w:afterAutospacing="1"/>
            </w:pPr>
            <w:r w:rsidRPr="00AD4B4F">
              <w:rPr>
                <w:color w:val="000000"/>
                <w:sz w:val="22"/>
              </w:rPr>
              <w:t>125</w:t>
            </w:r>
          </w:p>
        </w:tc>
        <w:tc>
          <w:tcPr>
            <w:tcW w:w="0" w:type="auto"/>
            <w:vAlign w:val="center"/>
          </w:tcPr>
          <w:p w14:paraId="6466A3AB" w14:textId="77777777" w:rsidR="0023288C" w:rsidRPr="00AD4B4F" w:rsidRDefault="00202916">
            <w:pPr>
              <w:spacing w:beforeAutospacing="1" w:afterAutospacing="1"/>
            </w:pPr>
            <w:r w:rsidRPr="00AD4B4F">
              <w:rPr>
                <w:color w:val="000000"/>
                <w:sz w:val="22"/>
              </w:rPr>
              <w:t>4</w:t>
            </w:r>
          </w:p>
        </w:tc>
        <w:tc>
          <w:tcPr>
            <w:tcW w:w="0" w:type="auto"/>
            <w:vAlign w:val="center"/>
          </w:tcPr>
          <w:p w14:paraId="50A1C50A" w14:textId="09AE68F2" w:rsidR="0023288C" w:rsidRPr="00AD4B4F" w:rsidRDefault="00202916">
            <w:pPr>
              <w:spacing w:beforeAutospacing="1" w:afterAutospacing="1"/>
            </w:pPr>
            <w:r w:rsidRPr="00AD4B4F">
              <w:rPr>
                <w:color w:val="000000"/>
                <w:sz w:val="22"/>
              </w:rPr>
              <w:t>3.20%</w:t>
            </w:r>
          </w:p>
        </w:tc>
        <w:tc>
          <w:tcPr>
            <w:tcW w:w="0" w:type="auto"/>
            <w:vAlign w:val="center"/>
          </w:tcPr>
          <w:p w14:paraId="6910FC61" w14:textId="77777777" w:rsidR="0023288C" w:rsidRPr="00AD4B4F" w:rsidRDefault="00202916">
            <w:pPr>
              <w:spacing w:beforeAutospacing="1" w:afterAutospacing="1"/>
            </w:pPr>
            <w:r w:rsidRPr="00AD4B4F">
              <w:rPr>
                <w:color w:val="000000"/>
                <w:sz w:val="22"/>
              </w:rPr>
              <w:t>50</w:t>
            </w:r>
          </w:p>
        </w:tc>
        <w:tc>
          <w:tcPr>
            <w:tcW w:w="929" w:type="dxa"/>
            <w:vAlign w:val="center"/>
          </w:tcPr>
          <w:p w14:paraId="4BAEF6B8" w14:textId="77777777" w:rsidR="0023288C" w:rsidRPr="00AD4B4F" w:rsidRDefault="00202916">
            <w:pPr>
              <w:spacing w:beforeAutospacing="1" w:afterAutospacing="1"/>
            </w:pPr>
            <w:r w:rsidRPr="00AD4B4F">
              <w:rPr>
                <w:color w:val="000000"/>
                <w:sz w:val="22"/>
              </w:rPr>
              <w:t>0</w:t>
            </w:r>
          </w:p>
        </w:tc>
        <w:tc>
          <w:tcPr>
            <w:tcW w:w="1020" w:type="dxa"/>
            <w:vAlign w:val="center"/>
          </w:tcPr>
          <w:p w14:paraId="123BD6C0" w14:textId="02FCB3EF" w:rsidR="0023288C" w:rsidRPr="00AD4B4F" w:rsidRDefault="00202916">
            <w:pPr>
              <w:spacing w:beforeAutospacing="1" w:afterAutospacing="1"/>
            </w:pPr>
            <w:r w:rsidRPr="00AD4B4F">
              <w:rPr>
                <w:color w:val="000000"/>
                <w:sz w:val="22"/>
              </w:rPr>
              <w:t>0.00%</w:t>
            </w:r>
          </w:p>
        </w:tc>
      </w:tr>
      <w:tr w:rsidR="0023288C" w:rsidRPr="00AD4B4F" w14:paraId="38D197BA" w14:textId="77777777" w:rsidTr="002F70C2">
        <w:trPr>
          <w:cantSplit/>
        </w:trPr>
        <w:tc>
          <w:tcPr>
            <w:tcW w:w="0" w:type="auto"/>
            <w:vAlign w:val="center"/>
          </w:tcPr>
          <w:p w14:paraId="49437BAC" w14:textId="77777777" w:rsidR="0023288C" w:rsidRPr="002F70C2" w:rsidRDefault="00202916">
            <w:pPr>
              <w:spacing w:beforeAutospacing="1" w:afterAutospacing="1"/>
            </w:pPr>
            <w:r w:rsidRPr="002F70C2">
              <w:rPr>
                <w:color w:val="000000"/>
                <w:sz w:val="22"/>
              </w:rPr>
              <w:t>Demolition</w:t>
            </w:r>
          </w:p>
        </w:tc>
        <w:tc>
          <w:tcPr>
            <w:tcW w:w="0" w:type="auto"/>
            <w:vAlign w:val="center"/>
          </w:tcPr>
          <w:p w14:paraId="3CEC59AA"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5238A2FA" w14:textId="77777777" w:rsidR="0023288C" w:rsidRPr="00AD4B4F" w:rsidRDefault="00202916">
            <w:pPr>
              <w:spacing w:beforeAutospacing="1" w:afterAutospacing="1"/>
            </w:pPr>
            <w:r w:rsidRPr="00AD4B4F">
              <w:rPr>
                <w:color w:val="000000"/>
                <w:sz w:val="22"/>
              </w:rPr>
              <w:t>CDBG: $</w:t>
            </w:r>
          </w:p>
        </w:tc>
        <w:tc>
          <w:tcPr>
            <w:tcW w:w="0" w:type="auto"/>
            <w:vAlign w:val="center"/>
          </w:tcPr>
          <w:p w14:paraId="61D130F4" w14:textId="77777777" w:rsidR="0023288C" w:rsidRPr="00AD4B4F" w:rsidRDefault="00202916">
            <w:pPr>
              <w:spacing w:beforeAutospacing="1" w:afterAutospacing="1"/>
            </w:pPr>
            <w:r w:rsidRPr="00AD4B4F">
              <w:rPr>
                <w:color w:val="000000"/>
                <w:sz w:val="22"/>
              </w:rPr>
              <w:t>Buildings Demolished</w:t>
            </w:r>
          </w:p>
        </w:tc>
        <w:tc>
          <w:tcPr>
            <w:tcW w:w="0" w:type="auto"/>
            <w:vAlign w:val="center"/>
          </w:tcPr>
          <w:p w14:paraId="314FDC34" w14:textId="77777777" w:rsidR="0023288C" w:rsidRPr="00AD4B4F" w:rsidRDefault="00202916">
            <w:pPr>
              <w:spacing w:beforeAutospacing="1" w:afterAutospacing="1"/>
            </w:pPr>
            <w:r w:rsidRPr="00AD4B4F">
              <w:rPr>
                <w:color w:val="000000"/>
                <w:sz w:val="22"/>
              </w:rPr>
              <w:t>Buildings</w:t>
            </w:r>
          </w:p>
        </w:tc>
        <w:tc>
          <w:tcPr>
            <w:tcW w:w="0" w:type="auto"/>
            <w:vAlign w:val="center"/>
          </w:tcPr>
          <w:p w14:paraId="5FBF8F61" w14:textId="77777777" w:rsidR="0023288C" w:rsidRPr="00AD4B4F" w:rsidRDefault="00202916">
            <w:pPr>
              <w:spacing w:beforeAutospacing="1" w:afterAutospacing="1"/>
            </w:pPr>
            <w:r w:rsidRPr="00AD4B4F">
              <w:rPr>
                <w:color w:val="000000"/>
                <w:sz w:val="22"/>
              </w:rPr>
              <w:t>15</w:t>
            </w:r>
          </w:p>
        </w:tc>
        <w:tc>
          <w:tcPr>
            <w:tcW w:w="0" w:type="auto"/>
            <w:vAlign w:val="center"/>
          </w:tcPr>
          <w:p w14:paraId="52EC69EF" w14:textId="2D58D95A" w:rsidR="0023288C" w:rsidRPr="00AD4B4F" w:rsidRDefault="00202916">
            <w:pPr>
              <w:spacing w:beforeAutospacing="1" w:afterAutospacing="1"/>
            </w:pPr>
            <w:r w:rsidRPr="00AD4B4F">
              <w:rPr>
                <w:color w:val="000000"/>
                <w:sz w:val="22"/>
              </w:rPr>
              <w:t>1</w:t>
            </w:r>
            <w:r w:rsidR="005637DD">
              <w:rPr>
                <w:color w:val="000000"/>
                <w:sz w:val="22"/>
              </w:rPr>
              <w:t>3</w:t>
            </w:r>
          </w:p>
        </w:tc>
        <w:tc>
          <w:tcPr>
            <w:tcW w:w="0" w:type="auto"/>
            <w:vAlign w:val="center"/>
          </w:tcPr>
          <w:p w14:paraId="52A8CCAA" w14:textId="76F7F23B" w:rsidR="0023288C" w:rsidRPr="00AD4B4F" w:rsidRDefault="00202916">
            <w:pPr>
              <w:spacing w:beforeAutospacing="1" w:afterAutospacing="1"/>
            </w:pPr>
            <w:r w:rsidRPr="00AD4B4F">
              <w:rPr>
                <w:color w:val="000000"/>
                <w:sz w:val="22"/>
              </w:rPr>
              <w:t xml:space="preserve"> </w:t>
            </w:r>
            <w:r w:rsidR="005637DD">
              <w:rPr>
                <w:color w:val="000000"/>
                <w:sz w:val="22"/>
              </w:rPr>
              <w:t>8</w:t>
            </w:r>
            <w:r w:rsidRPr="00AD4B4F">
              <w:rPr>
                <w:color w:val="000000"/>
                <w:sz w:val="22"/>
              </w:rPr>
              <w:t>6.67%</w:t>
            </w:r>
          </w:p>
        </w:tc>
        <w:tc>
          <w:tcPr>
            <w:tcW w:w="0" w:type="auto"/>
            <w:vAlign w:val="center"/>
          </w:tcPr>
          <w:p w14:paraId="30C0839B" w14:textId="77777777" w:rsidR="0023288C" w:rsidRPr="00AD4B4F" w:rsidRDefault="00202916">
            <w:pPr>
              <w:spacing w:beforeAutospacing="1" w:afterAutospacing="1"/>
            </w:pPr>
            <w:r w:rsidRPr="00AD4B4F">
              <w:rPr>
                <w:color w:val="000000"/>
                <w:sz w:val="22"/>
              </w:rPr>
              <w:t>3</w:t>
            </w:r>
          </w:p>
        </w:tc>
        <w:tc>
          <w:tcPr>
            <w:tcW w:w="929" w:type="dxa"/>
            <w:vAlign w:val="center"/>
          </w:tcPr>
          <w:p w14:paraId="64858FB9" w14:textId="1EC3EDB4" w:rsidR="0023288C" w:rsidRPr="00AD4B4F" w:rsidRDefault="005637DD">
            <w:pPr>
              <w:spacing w:beforeAutospacing="1" w:afterAutospacing="1"/>
            </w:pPr>
            <w:r>
              <w:rPr>
                <w:color w:val="000000"/>
                <w:sz w:val="22"/>
              </w:rPr>
              <w:t>3</w:t>
            </w:r>
          </w:p>
        </w:tc>
        <w:tc>
          <w:tcPr>
            <w:tcW w:w="1020" w:type="dxa"/>
            <w:vAlign w:val="center"/>
          </w:tcPr>
          <w:p w14:paraId="72E791CF" w14:textId="18CCBA63" w:rsidR="0023288C" w:rsidRPr="00AD4B4F" w:rsidRDefault="005637DD">
            <w:pPr>
              <w:spacing w:beforeAutospacing="1" w:afterAutospacing="1"/>
            </w:pPr>
            <w:r>
              <w:rPr>
                <w:color w:val="000000"/>
                <w:sz w:val="22"/>
              </w:rPr>
              <w:t>100</w:t>
            </w:r>
            <w:r w:rsidR="00202916" w:rsidRPr="00AD4B4F">
              <w:rPr>
                <w:color w:val="000000"/>
                <w:sz w:val="22"/>
              </w:rPr>
              <w:t>%</w:t>
            </w:r>
          </w:p>
        </w:tc>
      </w:tr>
      <w:tr w:rsidR="0023288C" w:rsidRPr="00AD4B4F" w14:paraId="2B5BE950" w14:textId="77777777" w:rsidTr="002F70C2">
        <w:trPr>
          <w:cantSplit/>
        </w:trPr>
        <w:tc>
          <w:tcPr>
            <w:tcW w:w="0" w:type="auto"/>
            <w:vAlign w:val="center"/>
          </w:tcPr>
          <w:p w14:paraId="5BB69934" w14:textId="77777777" w:rsidR="0023288C" w:rsidRPr="002F70C2" w:rsidRDefault="00202916">
            <w:pPr>
              <w:spacing w:beforeAutospacing="1" w:afterAutospacing="1"/>
            </w:pPr>
            <w:r w:rsidRPr="002F70C2">
              <w:rPr>
                <w:color w:val="000000"/>
                <w:sz w:val="22"/>
              </w:rPr>
              <w:t>Economic Development</w:t>
            </w:r>
          </w:p>
        </w:tc>
        <w:tc>
          <w:tcPr>
            <w:tcW w:w="0" w:type="auto"/>
            <w:vAlign w:val="center"/>
          </w:tcPr>
          <w:p w14:paraId="0720498B"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7CB21150" w14:textId="77777777" w:rsidR="0023288C" w:rsidRPr="00AD4B4F" w:rsidRDefault="00202916">
            <w:pPr>
              <w:spacing w:beforeAutospacing="1" w:afterAutospacing="1"/>
            </w:pPr>
            <w:r w:rsidRPr="00AD4B4F">
              <w:rPr>
                <w:color w:val="000000"/>
                <w:sz w:val="22"/>
              </w:rPr>
              <w:t>CDBG: $</w:t>
            </w:r>
          </w:p>
        </w:tc>
        <w:tc>
          <w:tcPr>
            <w:tcW w:w="0" w:type="auto"/>
            <w:vAlign w:val="center"/>
          </w:tcPr>
          <w:p w14:paraId="564F36A0" w14:textId="77777777" w:rsidR="0023288C" w:rsidRPr="00AD4B4F" w:rsidRDefault="00202916">
            <w:pPr>
              <w:spacing w:beforeAutospacing="1" w:afterAutospacing="1"/>
            </w:pPr>
            <w:r w:rsidRPr="00AD4B4F">
              <w:rPr>
                <w:color w:val="000000"/>
                <w:sz w:val="22"/>
              </w:rPr>
              <w:t>Businesses assisted</w:t>
            </w:r>
          </w:p>
        </w:tc>
        <w:tc>
          <w:tcPr>
            <w:tcW w:w="0" w:type="auto"/>
            <w:vAlign w:val="center"/>
          </w:tcPr>
          <w:p w14:paraId="37EF8F09" w14:textId="77777777" w:rsidR="0023288C" w:rsidRPr="00AD4B4F" w:rsidRDefault="00202916">
            <w:pPr>
              <w:spacing w:beforeAutospacing="1" w:afterAutospacing="1"/>
            </w:pPr>
            <w:r w:rsidRPr="00AD4B4F">
              <w:rPr>
                <w:color w:val="000000"/>
                <w:sz w:val="22"/>
              </w:rPr>
              <w:t>Businesses Assisted</w:t>
            </w:r>
          </w:p>
        </w:tc>
        <w:tc>
          <w:tcPr>
            <w:tcW w:w="0" w:type="auto"/>
            <w:vAlign w:val="center"/>
          </w:tcPr>
          <w:p w14:paraId="7C4F3038" w14:textId="77777777" w:rsidR="0023288C" w:rsidRPr="00AD4B4F" w:rsidRDefault="00202916">
            <w:pPr>
              <w:spacing w:beforeAutospacing="1" w:afterAutospacing="1"/>
            </w:pPr>
            <w:r w:rsidRPr="00AD4B4F">
              <w:rPr>
                <w:color w:val="000000"/>
                <w:sz w:val="22"/>
              </w:rPr>
              <w:t>10</w:t>
            </w:r>
          </w:p>
        </w:tc>
        <w:tc>
          <w:tcPr>
            <w:tcW w:w="0" w:type="auto"/>
            <w:vAlign w:val="center"/>
          </w:tcPr>
          <w:p w14:paraId="04F9E063" w14:textId="57639788" w:rsidR="0023288C" w:rsidRPr="00AD4B4F" w:rsidRDefault="005637DD">
            <w:pPr>
              <w:spacing w:beforeAutospacing="1" w:afterAutospacing="1"/>
            </w:pPr>
            <w:r>
              <w:rPr>
                <w:color w:val="000000"/>
                <w:sz w:val="22"/>
              </w:rPr>
              <w:t>88</w:t>
            </w:r>
          </w:p>
        </w:tc>
        <w:tc>
          <w:tcPr>
            <w:tcW w:w="0" w:type="auto"/>
            <w:vAlign w:val="center"/>
          </w:tcPr>
          <w:p w14:paraId="0121FC2D" w14:textId="35B5B198" w:rsidR="0023288C" w:rsidRPr="00AD4B4F" w:rsidRDefault="00202916">
            <w:pPr>
              <w:spacing w:beforeAutospacing="1" w:afterAutospacing="1"/>
            </w:pPr>
            <w:r w:rsidRPr="00AD4B4F">
              <w:rPr>
                <w:color w:val="000000"/>
                <w:sz w:val="22"/>
              </w:rPr>
              <w:t xml:space="preserve">  </w:t>
            </w:r>
            <w:r w:rsidR="005637DD">
              <w:rPr>
                <w:color w:val="000000"/>
                <w:sz w:val="22"/>
              </w:rPr>
              <w:t>88</w:t>
            </w:r>
            <w:r w:rsidRPr="00AD4B4F">
              <w:rPr>
                <w:color w:val="000000"/>
                <w:sz w:val="22"/>
              </w:rPr>
              <w:t>0.00%</w:t>
            </w:r>
          </w:p>
        </w:tc>
        <w:tc>
          <w:tcPr>
            <w:tcW w:w="0" w:type="auto"/>
            <w:vAlign w:val="center"/>
          </w:tcPr>
          <w:p w14:paraId="0FD40565" w14:textId="77777777" w:rsidR="0023288C" w:rsidRPr="00AD4B4F" w:rsidRDefault="00202916">
            <w:pPr>
              <w:spacing w:beforeAutospacing="1" w:afterAutospacing="1"/>
            </w:pPr>
            <w:r w:rsidRPr="00AD4B4F">
              <w:rPr>
                <w:color w:val="000000"/>
                <w:sz w:val="22"/>
              </w:rPr>
              <w:t>15</w:t>
            </w:r>
          </w:p>
        </w:tc>
        <w:tc>
          <w:tcPr>
            <w:tcW w:w="929" w:type="dxa"/>
            <w:vAlign w:val="center"/>
          </w:tcPr>
          <w:p w14:paraId="53DFAC43" w14:textId="60181365" w:rsidR="0023288C" w:rsidRPr="00AD4B4F" w:rsidRDefault="005637DD">
            <w:pPr>
              <w:spacing w:beforeAutospacing="1" w:afterAutospacing="1"/>
            </w:pPr>
            <w:r>
              <w:rPr>
                <w:color w:val="000000"/>
                <w:sz w:val="22"/>
              </w:rPr>
              <w:t>33</w:t>
            </w:r>
          </w:p>
        </w:tc>
        <w:tc>
          <w:tcPr>
            <w:tcW w:w="1020" w:type="dxa"/>
            <w:vAlign w:val="center"/>
          </w:tcPr>
          <w:p w14:paraId="46E07100" w14:textId="349F0D7A" w:rsidR="0023288C" w:rsidRPr="00AD4B4F" w:rsidRDefault="005637DD">
            <w:pPr>
              <w:spacing w:beforeAutospacing="1" w:afterAutospacing="1"/>
            </w:pPr>
            <w:r>
              <w:rPr>
                <w:color w:val="000000"/>
                <w:sz w:val="22"/>
              </w:rPr>
              <w:t>22</w:t>
            </w:r>
            <w:r w:rsidR="00202916" w:rsidRPr="00AD4B4F">
              <w:rPr>
                <w:color w:val="000000"/>
                <w:sz w:val="22"/>
              </w:rPr>
              <w:t>0.00%</w:t>
            </w:r>
          </w:p>
        </w:tc>
      </w:tr>
      <w:tr w:rsidR="0023288C" w:rsidRPr="00AD4B4F" w14:paraId="1B543C69" w14:textId="77777777" w:rsidTr="002F70C2">
        <w:trPr>
          <w:cantSplit/>
        </w:trPr>
        <w:tc>
          <w:tcPr>
            <w:tcW w:w="0" w:type="auto"/>
            <w:vAlign w:val="center"/>
          </w:tcPr>
          <w:p w14:paraId="00127384" w14:textId="77777777" w:rsidR="0023288C" w:rsidRPr="002F70C2" w:rsidRDefault="00202916">
            <w:pPr>
              <w:spacing w:beforeAutospacing="1" w:afterAutospacing="1"/>
            </w:pPr>
            <w:r w:rsidRPr="002F70C2">
              <w:rPr>
                <w:color w:val="000000"/>
                <w:sz w:val="22"/>
              </w:rPr>
              <w:t>Encourage Youth Employment</w:t>
            </w:r>
          </w:p>
        </w:tc>
        <w:tc>
          <w:tcPr>
            <w:tcW w:w="0" w:type="auto"/>
            <w:vAlign w:val="center"/>
          </w:tcPr>
          <w:p w14:paraId="5EE62D13"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3F5C0C7E" w14:textId="77777777" w:rsidR="0023288C" w:rsidRPr="00AD4B4F" w:rsidRDefault="00202916">
            <w:pPr>
              <w:spacing w:beforeAutospacing="1" w:afterAutospacing="1"/>
            </w:pPr>
            <w:r w:rsidRPr="00AD4B4F">
              <w:rPr>
                <w:color w:val="000000"/>
                <w:sz w:val="22"/>
              </w:rPr>
              <w:t>CDBG: $</w:t>
            </w:r>
          </w:p>
        </w:tc>
        <w:tc>
          <w:tcPr>
            <w:tcW w:w="0" w:type="auto"/>
            <w:vAlign w:val="center"/>
          </w:tcPr>
          <w:p w14:paraId="4958160A" w14:textId="77777777" w:rsidR="0023288C" w:rsidRPr="00AD4B4F" w:rsidRDefault="00202916">
            <w:pPr>
              <w:spacing w:beforeAutospacing="1" w:afterAutospacing="1"/>
            </w:pPr>
            <w:r w:rsidRPr="00AD4B4F">
              <w:rPr>
                <w:color w:val="000000"/>
                <w:sz w:val="22"/>
              </w:rPr>
              <w:t>Public service activities other than Low/Moderate Income Housing Benefit</w:t>
            </w:r>
          </w:p>
        </w:tc>
        <w:tc>
          <w:tcPr>
            <w:tcW w:w="0" w:type="auto"/>
            <w:vAlign w:val="center"/>
          </w:tcPr>
          <w:p w14:paraId="5352566C" w14:textId="77777777" w:rsidR="0023288C" w:rsidRPr="00AD4B4F" w:rsidRDefault="00202916">
            <w:pPr>
              <w:spacing w:beforeAutospacing="1" w:afterAutospacing="1"/>
            </w:pPr>
            <w:r w:rsidRPr="00AD4B4F">
              <w:rPr>
                <w:color w:val="000000"/>
                <w:sz w:val="22"/>
              </w:rPr>
              <w:t>Persons Assisted</w:t>
            </w:r>
          </w:p>
        </w:tc>
        <w:tc>
          <w:tcPr>
            <w:tcW w:w="0" w:type="auto"/>
            <w:vAlign w:val="center"/>
          </w:tcPr>
          <w:p w14:paraId="18CA5071" w14:textId="77777777" w:rsidR="0023288C" w:rsidRPr="00AD4B4F" w:rsidRDefault="00202916">
            <w:pPr>
              <w:spacing w:beforeAutospacing="1" w:afterAutospacing="1"/>
            </w:pPr>
            <w:r w:rsidRPr="00AD4B4F">
              <w:rPr>
                <w:color w:val="000000"/>
                <w:sz w:val="22"/>
              </w:rPr>
              <w:t>125</w:t>
            </w:r>
          </w:p>
        </w:tc>
        <w:tc>
          <w:tcPr>
            <w:tcW w:w="0" w:type="auto"/>
            <w:vAlign w:val="center"/>
          </w:tcPr>
          <w:p w14:paraId="247CC569" w14:textId="021B6FBE" w:rsidR="0023288C" w:rsidRPr="00AD4B4F" w:rsidRDefault="005637DD">
            <w:pPr>
              <w:spacing w:beforeAutospacing="1" w:afterAutospacing="1"/>
            </w:pPr>
            <w:r>
              <w:rPr>
                <w:color w:val="000000"/>
                <w:sz w:val="22"/>
              </w:rPr>
              <w:t>4</w:t>
            </w:r>
          </w:p>
        </w:tc>
        <w:tc>
          <w:tcPr>
            <w:tcW w:w="0" w:type="auto"/>
            <w:vAlign w:val="center"/>
          </w:tcPr>
          <w:p w14:paraId="61AE161F" w14:textId="448B70DD" w:rsidR="0023288C" w:rsidRPr="00AD4B4F" w:rsidRDefault="00202916">
            <w:pPr>
              <w:spacing w:beforeAutospacing="1" w:afterAutospacing="1"/>
            </w:pPr>
            <w:r w:rsidRPr="00AD4B4F">
              <w:rPr>
                <w:color w:val="000000"/>
                <w:sz w:val="22"/>
              </w:rPr>
              <w:t xml:space="preserve"> </w:t>
            </w:r>
            <w:r w:rsidR="005637DD">
              <w:rPr>
                <w:color w:val="000000"/>
                <w:sz w:val="22"/>
              </w:rPr>
              <w:t>3.2</w:t>
            </w:r>
            <w:r w:rsidRPr="00AD4B4F">
              <w:rPr>
                <w:color w:val="000000"/>
                <w:sz w:val="22"/>
              </w:rPr>
              <w:t>0%</w:t>
            </w:r>
          </w:p>
        </w:tc>
        <w:tc>
          <w:tcPr>
            <w:tcW w:w="0" w:type="auto"/>
            <w:vAlign w:val="center"/>
          </w:tcPr>
          <w:p w14:paraId="6E93A051" w14:textId="3475B3F7" w:rsidR="0023288C" w:rsidRPr="00AD4B4F" w:rsidRDefault="00202916">
            <w:pPr>
              <w:spacing w:beforeAutospacing="1" w:afterAutospacing="1"/>
            </w:pPr>
            <w:r w:rsidRPr="00AD4B4F">
              <w:rPr>
                <w:color w:val="000000"/>
                <w:sz w:val="22"/>
              </w:rPr>
              <w:t xml:space="preserve"> </w:t>
            </w:r>
            <w:r w:rsidR="005637DD">
              <w:rPr>
                <w:color w:val="000000"/>
                <w:sz w:val="22"/>
              </w:rPr>
              <w:t>0</w:t>
            </w:r>
          </w:p>
        </w:tc>
        <w:tc>
          <w:tcPr>
            <w:tcW w:w="929" w:type="dxa"/>
            <w:vAlign w:val="center"/>
          </w:tcPr>
          <w:p w14:paraId="307A2356" w14:textId="338F7BC8" w:rsidR="0023288C" w:rsidRPr="00AD4B4F" w:rsidRDefault="00202916">
            <w:pPr>
              <w:spacing w:beforeAutospacing="1" w:afterAutospacing="1"/>
            </w:pPr>
            <w:r w:rsidRPr="00AD4B4F">
              <w:rPr>
                <w:color w:val="000000"/>
                <w:sz w:val="22"/>
              </w:rPr>
              <w:t xml:space="preserve"> </w:t>
            </w:r>
            <w:r w:rsidR="005637DD">
              <w:rPr>
                <w:color w:val="000000"/>
                <w:sz w:val="22"/>
              </w:rPr>
              <w:t>4</w:t>
            </w:r>
          </w:p>
        </w:tc>
        <w:tc>
          <w:tcPr>
            <w:tcW w:w="1020" w:type="dxa"/>
            <w:vAlign w:val="center"/>
          </w:tcPr>
          <w:p w14:paraId="58AA60E6" w14:textId="77777777" w:rsidR="0023288C" w:rsidRPr="00AD4B4F" w:rsidRDefault="00202916">
            <w:pPr>
              <w:spacing w:beforeAutospacing="1" w:afterAutospacing="1"/>
            </w:pPr>
            <w:r w:rsidRPr="00AD4B4F">
              <w:rPr>
                <w:color w:val="000000"/>
                <w:sz w:val="22"/>
              </w:rPr>
              <w:t xml:space="preserve"> </w:t>
            </w:r>
          </w:p>
        </w:tc>
      </w:tr>
      <w:tr w:rsidR="0023288C" w:rsidRPr="00AD4B4F" w14:paraId="4FE61DDD" w14:textId="77777777" w:rsidTr="002F70C2">
        <w:trPr>
          <w:cantSplit/>
        </w:trPr>
        <w:tc>
          <w:tcPr>
            <w:tcW w:w="0" w:type="auto"/>
            <w:vAlign w:val="center"/>
          </w:tcPr>
          <w:p w14:paraId="099E4E5B" w14:textId="77777777" w:rsidR="0023288C" w:rsidRPr="002F70C2" w:rsidRDefault="00202916">
            <w:pPr>
              <w:spacing w:beforeAutospacing="1" w:afterAutospacing="1"/>
            </w:pPr>
            <w:r w:rsidRPr="002F70C2">
              <w:rPr>
                <w:color w:val="000000"/>
                <w:sz w:val="22"/>
              </w:rPr>
              <w:lastRenderedPageBreak/>
              <w:t>Improve Public Infrastructure and Facilities</w:t>
            </w:r>
          </w:p>
        </w:tc>
        <w:tc>
          <w:tcPr>
            <w:tcW w:w="0" w:type="auto"/>
            <w:vAlign w:val="center"/>
          </w:tcPr>
          <w:p w14:paraId="1930B41B"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7C7A2860" w14:textId="77777777" w:rsidR="0023288C" w:rsidRPr="00AD4B4F" w:rsidRDefault="00202916">
            <w:pPr>
              <w:spacing w:beforeAutospacing="1" w:afterAutospacing="1"/>
            </w:pPr>
            <w:r w:rsidRPr="00AD4B4F">
              <w:rPr>
                <w:color w:val="000000"/>
                <w:sz w:val="22"/>
              </w:rPr>
              <w:t>CDBG: $</w:t>
            </w:r>
          </w:p>
        </w:tc>
        <w:tc>
          <w:tcPr>
            <w:tcW w:w="0" w:type="auto"/>
            <w:vAlign w:val="center"/>
          </w:tcPr>
          <w:p w14:paraId="756BF065" w14:textId="77777777" w:rsidR="0023288C" w:rsidRPr="00AD4B4F" w:rsidRDefault="00202916">
            <w:pPr>
              <w:spacing w:beforeAutospacing="1" w:afterAutospacing="1"/>
            </w:pPr>
            <w:r w:rsidRPr="00AD4B4F">
              <w:rPr>
                <w:color w:val="000000"/>
                <w:sz w:val="22"/>
              </w:rPr>
              <w:t>Public Facility or Infrastructure Activities other than Low/Moderate Income Housing Benefit</w:t>
            </w:r>
          </w:p>
        </w:tc>
        <w:tc>
          <w:tcPr>
            <w:tcW w:w="0" w:type="auto"/>
            <w:vAlign w:val="center"/>
          </w:tcPr>
          <w:p w14:paraId="48F246E8" w14:textId="77777777" w:rsidR="0023288C" w:rsidRPr="00AD4B4F" w:rsidRDefault="00202916">
            <w:pPr>
              <w:spacing w:beforeAutospacing="1" w:afterAutospacing="1"/>
            </w:pPr>
            <w:r w:rsidRPr="00AD4B4F">
              <w:rPr>
                <w:color w:val="000000"/>
                <w:sz w:val="22"/>
              </w:rPr>
              <w:t>Persons Assisted</w:t>
            </w:r>
          </w:p>
        </w:tc>
        <w:tc>
          <w:tcPr>
            <w:tcW w:w="0" w:type="auto"/>
            <w:vAlign w:val="center"/>
          </w:tcPr>
          <w:p w14:paraId="119701A2" w14:textId="77777777" w:rsidR="0023288C" w:rsidRPr="00AD4B4F" w:rsidRDefault="00202916">
            <w:pPr>
              <w:spacing w:beforeAutospacing="1" w:afterAutospacing="1"/>
            </w:pPr>
            <w:r w:rsidRPr="00AD4B4F">
              <w:rPr>
                <w:color w:val="000000"/>
                <w:sz w:val="22"/>
              </w:rPr>
              <w:t>10000</w:t>
            </w:r>
          </w:p>
        </w:tc>
        <w:tc>
          <w:tcPr>
            <w:tcW w:w="0" w:type="auto"/>
            <w:vAlign w:val="center"/>
          </w:tcPr>
          <w:p w14:paraId="69266509" w14:textId="77777777" w:rsidR="0023288C" w:rsidRPr="00AD4B4F" w:rsidRDefault="00202916">
            <w:pPr>
              <w:spacing w:beforeAutospacing="1" w:afterAutospacing="1"/>
            </w:pPr>
            <w:r w:rsidRPr="00AD4B4F">
              <w:rPr>
                <w:color w:val="000000"/>
                <w:sz w:val="22"/>
              </w:rPr>
              <w:t>218365</w:t>
            </w:r>
          </w:p>
        </w:tc>
        <w:tc>
          <w:tcPr>
            <w:tcW w:w="0" w:type="auto"/>
            <w:vAlign w:val="center"/>
          </w:tcPr>
          <w:p w14:paraId="00FF0B86" w14:textId="27BD0530" w:rsidR="0023288C" w:rsidRPr="00AD4B4F" w:rsidRDefault="00202916">
            <w:pPr>
              <w:spacing w:beforeAutospacing="1" w:afterAutospacing="1"/>
            </w:pPr>
            <w:r w:rsidRPr="00AD4B4F">
              <w:rPr>
                <w:color w:val="000000"/>
                <w:sz w:val="22"/>
              </w:rPr>
              <w:t>2,183.65%</w:t>
            </w:r>
          </w:p>
        </w:tc>
        <w:tc>
          <w:tcPr>
            <w:tcW w:w="0" w:type="auto"/>
            <w:vAlign w:val="center"/>
          </w:tcPr>
          <w:p w14:paraId="5369D3D1" w14:textId="77777777" w:rsidR="0023288C" w:rsidRPr="00AD4B4F" w:rsidRDefault="00202916">
            <w:pPr>
              <w:spacing w:beforeAutospacing="1" w:afterAutospacing="1"/>
            </w:pPr>
            <w:r w:rsidRPr="00AD4B4F">
              <w:rPr>
                <w:color w:val="000000"/>
                <w:sz w:val="22"/>
              </w:rPr>
              <w:t>0</w:t>
            </w:r>
          </w:p>
        </w:tc>
        <w:tc>
          <w:tcPr>
            <w:tcW w:w="929" w:type="dxa"/>
            <w:vAlign w:val="center"/>
          </w:tcPr>
          <w:p w14:paraId="1DEFE55A" w14:textId="77777777" w:rsidR="0023288C" w:rsidRPr="00AD4B4F" w:rsidRDefault="00202916">
            <w:pPr>
              <w:spacing w:beforeAutospacing="1" w:afterAutospacing="1"/>
            </w:pPr>
            <w:r w:rsidRPr="00AD4B4F">
              <w:rPr>
                <w:color w:val="000000"/>
                <w:sz w:val="22"/>
              </w:rPr>
              <w:t>45225</w:t>
            </w:r>
          </w:p>
        </w:tc>
        <w:tc>
          <w:tcPr>
            <w:tcW w:w="1020" w:type="dxa"/>
            <w:vAlign w:val="center"/>
          </w:tcPr>
          <w:p w14:paraId="173E6645" w14:textId="77777777" w:rsidR="0023288C" w:rsidRPr="00AD4B4F" w:rsidRDefault="00202916">
            <w:pPr>
              <w:spacing w:beforeAutospacing="1" w:afterAutospacing="1"/>
            </w:pPr>
            <w:r w:rsidRPr="00AD4B4F">
              <w:rPr>
                <w:color w:val="000000"/>
                <w:sz w:val="22"/>
              </w:rPr>
              <w:t xml:space="preserve"> </w:t>
            </w:r>
          </w:p>
        </w:tc>
      </w:tr>
      <w:tr w:rsidR="0023288C" w:rsidRPr="00AD4B4F" w14:paraId="24455179" w14:textId="77777777" w:rsidTr="002F70C2">
        <w:trPr>
          <w:cantSplit/>
        </w:trPr>
        <w:tc>
          <w:tcPr>
            <w:tcW w:w="0" w:type="auto"/>
            <w:vAlign w:val="center"/>
          </w:tcPr>
          <w:p w14:paraId="4A1474FC" w14:textId="77777777" w:rsidR="0023288C" w:rsidRPr="002F70C2" w:rsidRDefault="00202916">
            <w:pPr>
              <w:spacing w:beforeAutospacing="1" w:afterAutospacing="1"/>
            </w:pPr>
            <w:r w:rsidRPr="002F70C2">
              <w:rPr>
                <w:color w:val="000000"/>
                <w:sz w:val="22"/>
              </w:rPr>
              <w:t>Improve Public Infrastructure and Facilities</w:t>
            </w:r>
          </w:p>
        </w:tc>
        <w:tc>
          <w:tcPr>
            <w:tcW w:w="0" w:type="auto"/>
            <w:vAlign w:val="center"/>
          </w:tcPr>
          <w:p w14:paraId="0DD8CF40"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51938CB6" w14:textId="77777777" w:rsidR="0023288C" w:rsidRPr="00AD4B4F" w:rsidRDefault="00202916">
            <w:pPr>
              <w:spacing w:beforeAutospacing="1" w:afterAutospacing="1"/>
            </w:pPr>
            <w:r w:rsidRPr="00AD4B4F">
              <w:rPr>
                <w:color w:val="000000"/>
                <w:sz w:val="22"/>
              </w:rPr>
              <w:t>CDBG: $</w:t>
            </w:r>
          </w:p>
        </w:tc>
        <w:tc>
          <w:tcPr>
            <w:tcW w:w="0" w:type="auto"/>
            <w:vAlign w:val="center"/>
          </w:tcPr>
          <w:p w14:paraId="248A0061" w14:textId="77777777" w:rsidR="0023288C" w:rsidRPr="00AD4B4F" w:rsidRDefault="00202916">
            <w:pPr>
              <w:spacing w:beforeAutospacing="1" w:afterAutospacing="1"/>
            </w:pPr>
            <w:r w:rsidRPr="00AD4B4F">
              <w:rPr>
                <w:color w:val="000000"/>
                <w:sz w:val="22"/>
              </w:rPr>
              <w:t>Public Facility or Infrastructure Activities for Low/Moderate Income Housing Benefit</w:t>
            </w:r>
          </w:p>
        </w:tc>
        <w:tc>
          <w:tcPr>
            <w:tcW w:w="0" w:type="auto"/>
            <w:vAlign w:val="center"/>
          </w:tcPr>
          <w:p w14:paraId="5D3D500B" w14:textId="77777777" w:rsidR="0023288C" w:rsidRPr="00AD4B4F" w:rsidRDefault="00202916">
            <w:pPr>
              <w:spacing w:beforeAutospacing="1" w:afterAutospacing="1"/>
            </w:pPr>
            <w:r w:rsidRPr="00AD4B4F">
              <w:rPr>
                <w:color w:val="000000"/>
                <w:sz w:val="22"/>
              </w:rPr>
              <w:t>Households Assisted</w:t>
            </w:r>
          </w:p>
        </w:tc>
        <w:tc>
          <w:tcPr>
            <w:tcW w:w="0" w:type="auto"/>
            <w:vAlign w:val="center"/>
          </w:tcPr>
          <w:p w14:paraId="1434A8CA" w14:textId="77777777" w:rsidR="0023288C" w:rsidRPr="00AD4B4F" w:rsidRDefault="00202916">
            <w:pPr>
              <w:spacing w:beforeAutospacing="1" w:afterAutospacing="1"/>
            </w:pPr>
            <w:r w:rsidRPr="00AD4B4F">
              <w:rPr>
                <w:color w:val="000000"/>
                <w:sz w:val="22"/>
              </w:rPr>
              <w:t>0</w:t>
            </w:r>
          </w:p>
        </w:tc>
        <w:tc>
          <w:tcPr>
            <w:tcW w:w="0" w:type="auto"/>
            <w:vAlign w:val="center"/>
          </w:tcPr>
          <w:p w14:paraId="433C0B59" w14:textId="77777777" w:rsidR="0023288C" w:rsidRPr="00AD4B4F" w:rsidRDefault="00202916">
            <w:pPr>
              <w:spacing w:beforeAutospacing="1" w:afterAutospacing="1"/>
            </w:pPr>
            <w:r w:rsidRPr="00AD4B4F">
              <w:rPr>
                <w:color w:val="000000"/>
                <w:sz w:val="22"/>
              </w:rPr>
              <w:t>0</w:t>
            </w:r>
          </w:p>
        </w:tc>
        <w:tc>
          <w:tcPr>
            <w:tcW w:w="0" w:type="auto"/>
            <w:vAlign w:val="center"/>
          </w:tcPr>
          <w:p w14:paraId="718C377C"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2B398E4D" w14:textId="77777777" w:rsidR="0023288C" w:rsidRPr="00AD4B4F" w:rsidRDefault="00202916">
            <w:pPr>
              <w:spacing w:beforeAutospacing="1" w:afterAutospacing="1"/>
            </w:pPr>
            <w:r w:rsidRPr="00AD4B4F">
              <w:rPr>
                <w:color w:val="000000"/>
                <w:sz w:val="22"/>
              </w:rPr>
              <w:t>2500</w:t>
            </w:r>
          </w:p>
        </w:tc>
        <w:tc>
          <w:tcPr>
            <w:tcW w:w="929" w:type="dxa"/>
            <w:vAlign w:val="center"/>
          </w:tcPr>
          <w:p w14:paraId="5A14FC5C" w14:textId="77777777" w:rsidR="0023288C" w:rsidRPr="00AD4B4F" w:rsidRDefault="00202916">
            <w:pPr>
              <w:spacing w:beforeAutospacing="1" w:afterAutospacing="1"/>
            </w:pPr>
            <w:r w:rsidRPr="00AD4B4F">
              <w:rPr>
                <w:color w:val="000000"/>
                <w:sz w:val="22"/>
              </w:rPr>
              <w:t>0</w:t>
            </w:r>
          </w:p>
        </w:tc>
        <w:tc>
          <w:tcPr>
            <w:tcW w:w="1020" w:type="dxa"/>
            <w:vAlign w:val="center"/>
          </w:tcPr>
          <w:p w14:paraId="72222DD6" w14:textId="77777777" w:rsidR="0023288C" w:rsidRPr="00AD4B4F" w:rsidRDefault="00202916">
            <w:pPr>
              <w:spacing w:beforeAutospacing="1" w:afterAutospacing="1"/>
            </w:pPr>
            <w:r w:rsidRPr="00AD4B4F">
              <w:rPr>
                <w:color w:val="000000"/>
                <w:sz w:val="22"/>
              </w:rPr>
              <w:t xml:space="preserve">         0.00%</w:t>
            </w:r>
          </w:p>
        </w:tc>
      </w:tr>
      <w:tr w:rsidR="0023288C" w:rsidRPr="00AD4B4F" w14:paraId="691E5548" w14:textId="77777777" w:rsidTr="002F70C2">
        <w:trPr>
          <w:cantSplit/>
        </w:trPr>
        <w:tc>
          <w:tcPr>
            <w:tcW w:w="0" w:type="auto"/>
            <w:vAlign w:val="center"/>
          </w:tcPr>
          <w:p w14:paraId="125343A2" w14:textId="77777777" w:rsidR="0023288C" w:rsidRPr="002F70C2" w:rsidRDefault="00202916">
            <w:pPr>
              <w:spacing w:beforeAutospacing="1" w:afterAutospacing="1"/>
            </w:pPr>
            <w:r w:rsidRPr="002F70C2">
              <w:rPr>
                <w:color w:val="000000"/>
                <w:sz w:val="22"/>
              </w:rPr>
              <w:t>Increase homeownership</w:t>
            </w:r>
          </w:p>
        </w:tc>
        <w:tc>
          <w:tcPr>
            <w:tcW w:w="0" w:type="auto"/>
            <w:vAlign w:val="center"/>
          </w:tcPr>
          <w:p w14:paraId="1F566BEE"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51774747" w14:textId="77777777" w:rsidR="0023288C" w:rsidRPr="00AD4B4F" w:rsidRDefault="00202916">
            <w:pPr>
              <w:spacing w:beforeAutospacing="1" w:afterAutospacing="1"/>
            </w:pPr>
            <w:r w:rsidRPr="00AD4B4F">
              <w:rPr>
                <w:color w:val="000000"/>
                <w:sz w:val="22"/>
              </w:rPr>
              <w:t>CDBG: $26500 / HOME: $</w:t>
            </w:r>
          </w:p>
        </w:tc>
        <w:tc>
          <w:tcPr>
            <w:tcW w:w="0" w:type="auto"/>
            <w:vAlign w:val="center"/>
          </w:tcPr>
          <w:p w14:paraId="67F64303" w14:textId="77777777" w:rsidR="0023288C" w:rsidRPr="00AD4B4F" w:rsidRDefault="00202916">
            <w:pPr>
              <w:spacing w:beforeAutospacing="1" w:afterAutospacing="1"/>
            </w:pPr>
            <w:r w:rsidRPr="00AD4B4F">
              <w:rPr>
                <w:color w:val="000000"/>
                <w:sz w:val="22"/>
              </w:rPr>
              <w:t>Public service activities other than Low/Moderate Income Housing Benefit</w:t>
            </w:r>
          </w:p>
        </w:tc>
        <w:tc>
          <w:tcPr>
            <w:tcW w:w="0" w:type="auto"/>
            <w:vAlign w:val="center"/>
          </w:tcPr>
          <w:p w14:paraId="6D75AA38" w14:textId="77777777" w:rsidR="0023288C" w:rsidRPr="00AD4B4F" w:rsidRDefault="00202916">
            <w:pPr>
              <w:spacing w:beforeAutospacing="1" w:afterAutospacing="1"/>
            </w:pPr>
            <w:r w:rsidRPr="00AD4B4F">
              <w:rPr>
                <w:color w:val="000000"/>
                <w:sz w:val="22"/>
              </w:rPr>
              <w:t>Persons Assisted</w:t>
            </w:r>
          </w:p>
        </w:tc>
        <w:tc>
          <w:tcPr>
            <w:tcW w:w="0" w:type="auto"/>
            <w:vAlign w:val="center"/>
          </w:tcPr>
          <w:p w14:paraId="56102845" w14:textId="77777777" w:rsidR="0023288C" w:rsidRPr="00AD4B4F" w:rsidRDefault="00202916">
            <w:pPr>
              <w:spacing w:beforeAutospacing="1" w:afterAutospacing="1"/>
            </w:pPr>
            <w:r w:rsidRPr="00AD4B4F">
              <w:rPr>
                <w:color w:val="000000"/>
                <w:sz w:val="22"/>
              </w:rPr>
              <w:t>0</w:t>
            </w:r>
          </w:p>
        </w:tc>
        <w:tc>
          <w:tcPr>
            <w:tcW w:w="0" w:type="auto"/>
            <w:vAlign w:val="center"/>
          </w:tcPr>
          <w:p w14:paraId="44E5B7B5" w14:textId="77777777" w:rsidR="0023288C" w:rsidRPr="00AD4B4F" w:rsidRDefault="00202916">
            <w:pPr>
              <w:spacing w:beforeAutospacing="1" w:afterAutospacing="1"/>
            </w:pPr>
            <w:r w:rsidRPr="00AD4B4F">
              <w:rPr>
                <w:color w:val="000000"/>
                <w:sz w:val="22"/>
              </w:rPr>
              <w:t>50</w:t>
            </w:r>
          </w:p>
        </w:tc>
        <w:tc>
          <w:tcPr>
            <w:tcW w:w="0" w:type="auto"/>
            <w:vAlign w:val="center"/>
          </w:tcPr>
          <w:p w14:paraId="3BC57006"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206764C8" w14:textId="77777777" w:rsidR="0023288C" w:rsidRPr="00AD4B4F" w:rsidRDefault="00202916">
            <w:pPr>
              <w:spacing w:beforeAutospacing="1" w:afterAutospacing="1"/>
            </w:pPr>
            <w:r w:rsidRPr="00AD4B4F">
              <w:rPr>
                <w:color w:val="000000"/>
                <w:sz w:val="22"/>
              </w:rPr>
              <w:t>0</w:t>
            </w:r>
          </w:p>
        </w:tc>
        <w:tc>
          <w:tcPr>
            <w:tcW w:w="929" w:type="dxa"/>
            <w:vAlign w:val="center"/>
          </w:tcPr>
          <w:p w14:paraId="399214E3" w14:textId="77777777" w:rsidR="0023288C" w:rsidRPr="00AD4B4F" w:rsidRDefault="00202916">
            <w:pPr>
              <w:spacing w:beforeAutospacing="1" w:afterAutospacing="1"/>
            </w:pPr>
            <w:r w:rsidRPr="00AD4B4F">
              <w:rPr>
                <w:color w:val="000000"/>
                <w:sz w:val="22"/>
              </w:rPr>
              <w:t>50</w:t>
            </w:r>
          </w:p>
        </w:tc>
        <w:tc>
          <w:tcPr>
            <w:tcW w:w="1020" w:type="dxa"/>
            <w:vAlign w:val="center"/>
          </w:tcPr>
          <w:p w14:paraId="34382634" w14:textId="77777777" w:rsidR="0023288C" w:rsidRPr="00AD4B4F" w:rsidRDefault="00202916">
            <w:pPr>
              <w:spacing w:beforeAutospacing="1" w:afterAutospacing="1"/>
            </w:pPr>
            <w:r w:rsidRPr="00AD4B4F">
              <w:rPr>
                <w:color w:val="000000"/>
                <w:sz w:val="22"/>
              </w:rPr>
              <w:t xml:space="preserve"> </w:t>
            </w:r>
          </w:p>
        </w:tc>
      </w:tr>
      <w:tr w:rsidR="0023288C" w:rsidRPr="00AD4B4F" w14:paraId="04B7526A" w14:textId="77777777" w:rsidTr="002F70C2">
        <w:trPr>
          <w:cantSplit/>
        </w:trPr>
        <w:tc>
          <w:tcPr>
            <w:tcW w:w="0" w:type="auto"/>
            <w:vAlign w:val="center"/>
          </w:tcPr>
          <w:p w14:paraId="4BBA946E" w14:textId="77777777" w:rsidR="0023288C" w:rsidRPr="002F70C2" w:rsidRDefault="00202916">
            <w:pPr>
              <w:spacing w:beforeAutospacing="1" w:afterAutospacing="1"/>
            </w:pPr>
            <w:r w:rsidRPr="002F70C2">
              <w:rPr>
                <w:color w:val="000000"/>
                <w:sz w:val="22"/>
              </w:rPr>
              <w:t>Increase homeownership</w:t>
            </w:r>
          </w:p>
        </w:tc>
        <w:tc>
          <w:tcPr>
            <w:tcW w:w="0" w:type="auto"/>
            <w:vAlign w:val="center"/>
          </w:tcPr>
          <w:p w14:paraId="4FDD21AB"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71617190" w14:textId="77777777" w:rsidR="0023288C" w:rsidRPr="00AD4B4F" w:rsidRDefault="00202916">
            <w:pPr>
              <w:spacing w:beforeAutospacing="1" w:afterAutospacing="1"/>
            </w:pPr>
            <w:r w:rsidRPr="00AD4B4F">
              <w:rPr>
                <w:color w:val="000000"/>
                <w:sz w:val="22"/>
              </w:rPr>
              <w:t>CDBG: $26500 / HOME: $</w:t>
            </w:r>
          </w:p>
        </w:tc>
        <w:tc>
          <w:tcPr>
            <w:tcW w:w="0" w:type="auto"/>
            <w:vAlign w:val="center"/>
          </w:tcPr>
          <w:p w14:paraId="424E965A" w14:textId="77777777" w:rsidR="0023288C" w:rsidRPr="00AD4B4F" w:rsidRDefault="00202916">
            <w:pPr>
              <w:spacing w:beforeAutospacing="1" w:afterAutospacing="1"/>
            </w:pPr>
            <w:r w:rsidRPr="00AD4B4F">
              <w:rPr>
                <w:color w:val="000000"/>
                <w:sz w:val="22"/>
              </w:rPr>
              <w:t>Public service activities for Low/Moderate Income Housing Benefit</w:t>
            </w:r>
          </w:p>
        </w:tc>
        <w:tc>
          <w:tcPr>
            <w:tcW w:w="0" w:type="auto"/>
            <w:vAlign w:val="center"/>
          </w:tcPr>
          <w:p w14:paraId="5BEACA0B" w14:textId="77777777" w:rsidR="0023288C" w:rsidRPr="00AD4B4F" w:rsidRDefault="00202916">
            <w:pPr>
              <w:spacing w:beforeAutospacing="1" w:afterAutospacing="1"/>
            </w:pPr>
            <w:r w:rsidRPr="00AD4B4F">
              <w:rPr>
                <w:color w:val="000000"/>
                <w:sz w:val="22"/>
              </w:rPr>
              <w:t>Households Assisted</w:t>
            </w:r>
          </w:p>
        </w:tc>
        <w:tc>
          <w:tcPr>
            <w:tcW w:w="0" w:type="auto"/>
            <w:vAlign w:val="center"/>
          </w:tcPr>
          <w:p w14:paraId="5955EF8C" w14:textId="77777777" w:rsidR="0023288C" w:rsidRPr="00AD4B4F" w:rsidRDefault="00202916">
            <w:pPr>
              <w:spacing w:beforeAutospacing="1" w:afterAutospacing="1"/>
            </w:pPr>
            <w:r w:rsidRPr="00AD4B4F">
              <w:rPr>
                <w:color w:val="000000"/>
                <w:sz w:val="22"/>
              </w:rPr>
              <w:t>0</w:t>
            </w:r>
          </w:p>
        </w:tc>
        <w:tc>
          <w:tcPr>
            <w:tcW w:w="0" w:type="auto"/>
            <w:vAlign w:val="center"/>
          </w:tcPr>
          <w:p w14:paraId="50D3A8BF" w14:textId="77777777" w:rsidR="0023288C" w:rsidRPr="00AD4B4F" w:rsidRDefault="00202916">
            <w:pPr>
              <w:spacing w:beforeAutospacing="1" w:afterAutospacing="1"/>
            </w:pPr>
            <w:r w:rsidRPr="00AD4B4F">
              <w:rPr>
                <w:color w:val="000000"/>
                <w:sz w:val="22"/>
              </w:rPr>
              <w:t>68</w:t>
            </w:r>
          </w:p>
        </w:tc>
        <w:tc>
          <w:tcPr>
            <w:tcW w:w="0" w:type="auto"/>
            <w:vAlign w:val="center"/>
          </w:tcPr>
          <w:p w14:paraId="62FD8DE3"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343929E3" w14:textId="77777777" w:rsidR="0023288C" w:rsidRPr="00AD4B4F" w:rsidRDefault="00202916">
            <w:pPr>
              <w:spacing w:beforeAutospacing="1" w:afterAutospacing="1"/>
            </w:pPr>
            <w:r w:rsidRPr="00AD4B4F">
              <w:rPr>
                <w:color w:val="000000"/>
                <w:sz w:val="22"/>
              </w:rPr>
              <w:t>0</w:t>
            </w:r>
          </w:p>
        </w:tc>
        <w:tc>
          <w:tcPr>
            <w:tcW w:w="929" w:type="dxa"/>
            <w:vAlign w:val="center"/>
          </w:tcPr>
          <w:p w14:paraId="1008BCF0" w14:textId="77777777" w:rsidR="0023288C" w:rsidRPr="00AD4B4F" w:rsidRDefault="00202916">
            <w:pPr>
              <w:spacing w:beforeAutospacing="1" w:afterAutospacing="1"/>
            </w:pPr>
            <w:r w:rsidRPr="00AD4B4F">
              <w:rPr>
                <w:color w:val="000000"/>
                <w:sz w:val="22"/>
              </w:rPr>
              <w:t>68</w:t>
            </w:r>
          </w:p>
        </w:tc>
        <w:tc>
          <w:tcPr>
            <w:tcW w:w="1020" w:type="dxa"/>
            <w:vAlign w:val="center"/>
          </w:tcPr>
          <w:p w14:paraId="3A450400" w14:textId="77777777" w:rsidR="0023288C" w:rsidRPr="00AD4B4F" w:rsidRDefault="00202916">
            <w:pPr>
              <w:spacing w:beforeAutospacing="1" w:afterAutospacing="1"/>
            </w:pPr>
            <w:r w:rsidRPr="00AD4B4F">
              <w:rPr>
                <w:color w:val="000000"/>
                <w:sz w:val="22"/>
              </w:rPr>
              <w:t xml:space="preserve"> </w:t>
            </w:r>
          </w:p>
        </w:tc>
      </w:tr>
      <w:tr w:rsidR="0023288C" w:rsidRPr="00AD4B4F" w14:paraId="59E7F2FF" w14:textId="77777777" w:rsidTr="002F70C2">
        <w:trPr>
          <w:cantSplit/>
        </w:trPr>
        <w:tc>
          <w:tcPr>
            <w:tcW w:w="0" w:type="auto"/>
            <w:vAlign w:val="center"/>
          </w:tcPr>
          <w:p w14:paraId="07E15AE4" w14:textId="77777777" w:rsidR="0023288C" w:rsidRPr="002F70C2" w:rsidRDefault="00202916">
            <w:pPr>
              <w:spacing w:beforeAutospacing="1" w:afterAutospacing="1"/>
            </w:pPr>
            <w:r w:rsidRPr="002F70C2">
              <w:rPr>
                <w:color w:val="000000"/>
                <w:sz w:val="22"/>
              </w:rPr>
              <w:t>Increase homeownership</w:t>
            </w:r>
          </w:p>
        </w:tc>
        <w:tc>
          <w:tcPr>
            <w:tcW w:w="0" w:type="auto"/>
            <w:vAlign w:val="center"/>
          </w:tcPr>
          <w:p w14:paraId="6B68A103"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27F5D52B" w14:textId="77777777" w:rsidR="0023288C" w:rsidRPr="00AD4B4F" w:rsidRDefault="00202916">
            <w:pPr>
              <w:spacing w:beforeAutospacing="1" w:afterAutospacing="1"/>
            </w:pPr>
            <w:r w:rsidRPr="00AD4B4F">
              <w:rPr>
                <w:color w:val="000000"/>
                <w:sz w:val="22"/>
              </w:rPr>
              <w:t>CDBG: $26500 / HOME: $</w:t>
            </w:r>
          </w:p>
        </w:tc>
        <w:tc>
          <w:tcPr>
            <w:tcW w:w="0" w:type="auto"/>
            <w:vAlign w:val="center"/>
          </w:tcPr>
          <w:p w14:paraId="1CFFADD0" w14:textId="77777777" w:rsidR="0023288C" w:rsidRPr="00AD4B4F" w:rsidRDefault="00202916">
            <w:pPr>
              <w:spacing w:beforeAutospacing="1" w:afterAutospacing="1"/>
            </w:pPr>
            <w:r w:rsidRPr="00AD4B4F">
              <w:rPr>
                <w:color w:val="000000"/>
                <w:sz w:val="22"/>
              </w:rPr>
              <w:t>Homeowner Housing Added</w:t>
            </w:r>
          </w:p>
        </w:tc>
        <w:tc>
          <w:tcPr>
            <w:tcW w:w="0" w:type="auto"/>
            <w:vAlign w:val="center"/>
          </w:tcPr>
          <w:p w14:paraId="17BBBA37"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17E3858F" w14:textId="77777777" w:rsidR="0023288C" w:rsidRPr="00AD4B4F" w:rsidRDefault="00202916">
            <w:pPr>
              <w:spacing w:beforeAutospacing="1" w:afterAutospacing="1"/>
            </w:pPr>
            <w:r w:rsidRPr="00AD4B4F">
              <w:rPr>
                <w:color w:val="000000"/>
                <w:sz w:val="22"/>
              </w:rPr>
              <w:t>0</w:t>
            </w:r>
          </w:p>
        </w:tc>
        <w:tc>
          <w:tcPr>
            <w:tcW w:w="0" w:type="auto"/>
            <w:vAlign w:val="center"/>
          </w:tcPr>
          <w:p w14:paraId="0E876D8F" w14:textId="19055F22" w:rsidR="0023288C" w:rsidRPr="00AD4B4F" w:rsidRDefault="00987124">
            <w:pPr>
              <w:spacing w:beforeAutospacing="1" w:afterAutospacing="1"/>
            </w:pPr>
            <w:r>
              <w:rPr>
                <w:color w:val="000000"/>
                <w:sz w:val="22"/>
              </w:rPr>
              <w:t>0</w:t>
            </w:r>
          </w:p>
        </w:tc>
        <w:tc>
          <w:tcPr>
            <w:tcW w:w="0" w:type="auto"/>
            <w:vAlign w:val="center"/>
          </w:tcPr>
          <w:p w14:paraId="7C82B9AC"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3E19FA90" w14:textId="77777777" w:rsidR="0023288C" w:rsidRPr="00AD4B4F" w:rsidRDefault="00202916">
            <w:pPr>
              <w:spacing w:beforeAutospacing="1" w:afterAutospacing="1"/>
            </w:pPr>
            <w:r w:rsidRPr="00AD4B4F">
              <w:rPr>
                <w:color w:val="000000"/>
                <w:sz w:val="22"/>
              </w:rPr>
              <w:t>2</w:t>
            </w:r>
          </w:p>
        </w:tc>
        <w:tc>
          <w:tcPr>
            <w:tcW w:w="929" w:type="dxa"/>
            <w:vAlign w:val="center"/>
          </w:tcPr>
          <w:p w14:paraId="05AE428E" w14:textId="5F801F9E" w:rsidR="0023288C" w:rsidRPr="00AD4B4F" w:rsidRDefault="00987124">
            <w:pPr>
              <w:spacing w:beforeAutospacing="1" w:afterAutospacing="1"/>
            </w:pPr>
            <w:r>
              <w:t>0</w:t>
            </w:r>
          </w:p>
        </w:tc>
        <w:tc>
          <w:tcPr>
            <w:tcW w:w="1020" w:type="dxa"/>
            <w:vAlign w:val="center"/>
          </w:tcPr>
          <w:p w14:paraId="093BE5B4" w14:textId="12678098" w:rsidR="0023288C" w:rsidRPr="00AD4B4F" w:rsidRDefault="00202916">
            <w:pPr>
              <w:spacing w:beforeAutospacing="1" w:afterAutospacing="1"/>
            </w:pPr>
            <w:r w:rsidRPr="00AD4B4F">
              <w:rPr>
                <w:color w:val="000000"/>
                <w:sz w:val="22"/>
              </w:rPr>
              <w:t>150.00%</w:t>
            </w:r>
          </w:p>
        </w:tc>
      </w:tr>
      <w:tr w:rsidR="0023288C" w:rsidRPr="00AD4B4F" w14:paraId="36C1675F" w14:textId="77777777" w:rsidTr="002F70C2">
        <w:trPr>
          <w:cantSplit/>
        </w:trPr>
        <w:tc>
          <w:tcPr>
            <w:tcW w:w="0" w:type="auto"/>
            <w:vAlign w:val="center"/>
          </w:tcPr>
          <w:p w14:paraId="3261FADA" w14:textId="77777777" w:rsidR="0023288C" w:rsidRPr="002F70C2" w:rsidRDefault="00202916">
            <w:pPr>
              <w:spacing w:beforeAutospacing="1" w:afterAutospacing="1"/>
            </w:pPr>
            <w:r w:rsidRPr="002F70C2">
              <w:rPr>
                <w:color w:val="000000"/>
                <w:sz w:val="22"/>
              </w:rPr>
              <w:t>Increase homeownership</w:t>
            </w:r>
          </w:p>
        </w:tc>
        <w:tc>
          <w:tcPr>
            <w:tcW w:w="0" w:type="auto"/>
            <w:vAlign w:val="center"/>
          </w:tcPr>
          <w:p w14:paraId="73E14B58" w14:textId="77777777" w:rsidR="0023288C" w:rsidRPr="00AD4B4F" w:rsidRDefault="00202916">
            <w:pPr>
              <w:spacing w:beforeAutospacing="1" w:afterAutospacing="1"/>
            </w:pPr>
            <w:r w:rsidRPr="00AD4B4F">
              <w:rPr>
                <w:color w:val="000000"/>
                <w:sz w:val="22"/>
              </w:rPr>
              <w:t>Affordable Housing</w:t>
            </w:r>
          </w:p>
        </w:tc>
        <w:tc>
          <w:tcPr>
            <w:tcW w:w="0" w:type="auto"/>
            <w:vAlign w:val="center"/>
          </w:tcPr>
          <w:p w14:paraId="25145A1E" w14:textId="77777777" w:rsidR="0023288C" w:rsidRPr="00AD4B4F" w:rsidRDefault="00202916">
            <w:pPr>
              <w:spacing w:beforeAutospacing="1" w:afterAutospacing="1"/>
            </w:pPr>
            <w:r w:rsidRPr="00AD4B4F">
              <w:rPr>
                <w:color w:val="000000"/>
                <w:sz w:val="22"/>
              </w:rPr>
              <w:t>CDBG: $26500 / HOME: $</w:t>
            </w:r>
          </w:p>
        </w:tc>
        <w:tc>
          <w:tcPr>
            <w:tcW w:w="0" w:type="auto"/>
            <w:vAlign w:val="center"/>
          </w:tcPr>
          <w:p w14:paraId="18D20126" w14:textId="77777777" w:rsidR="0023288C" w:rsidRPr="00AD4B4F" w:rsidRDefault="00202916">
            <w:pPr>
              <w:spacing w:beforeAutospacing="1" w:afterAutospacing="1"/>
            </w:pPr>
            <w:r w:rsidRPr="00AD4B4F">
              <w:rPr>
                <w:color w:val="000000"/>
                <w:sz w:val="22"/>
              </w:rPr>
              <w:t>Direct Financial Assistance to Homebuyers</w:t>
            </w:r>
          </w:p>
        </w:tc>
        <w:tc>
          <w:tcPr>
            <w:tcW w:w="0" w:type="auto"/>
            <w:vAlign w:val="center"/>
          </w:tcPr>
          <w:p w14:paraId="4B82D6E3" w14:textId="77777777" w:rsidR="0023288C" w:rsidRPr="00AD4B4F" w:rsidRDefault="00202916">
            <w:pPr>
              <w:spacing w:beforeAutospacing="1" w:afterAutospacing="1"/>
            </w:pPr>
            <w:r w:rsidRPr="00AD4B4F">
              <w:rPr>
                <w:color w:val="000000"/>
                <w:sz w:val="22"/>
              </w:rPr>
              <w:t>Households Assisted</w:t>
            </w:r>
          </w:p>
        </w:tc>
        <w:tc>
          <w:tcPr>
            <w:tcW w:w="0" w:type="auto"/>
            <w:vAlign w:val="center"/>
          </w:tcPr>
          <w:p w14:paraId="757A9243" w14:textId="77777777" w:rsidR="0023288C" w:rsidRPr="00AD4B4F" w:rsidRDefault="00202916">
            <w:pPr>
              <w:spacing w:beforeAutospacing="1" w:afterAutospacing="1"/>
            </w:pPr>
            <w:r w:rsidRPr="00AD4B4F">
              <w:rPr>
                <w:color w:val="000000"/>
                <w:sz w:val="22"/>
              </w:rPr>
              <w:t>35</w:t>
            </w:r>
          </w:p>
        </w:tc>
        <w:tc>
          <w:tcPr>
            <w:tcW w:w="0" w:type="auto"/>
            <w:vAlign w:val="center"/>
          </w:tcPr>
          <w:p w14:paraId="7A49FF56" w14:textId="77777777" w:rsidR="0023288C" w:rsidRPr="00AD4B4F" w:rsidRDefault="00202916">
            <w:pPr>
              <w:spacing w:beforeAutospacing="1" w:afterAutospacing="1"/>
            </w:pPr>
            <w:r w:rsidRPr="00AD4B4F">
              <w:rPr>
                <w:color w:val="000000"/>
                <w:sz w:val="22"/>
              </w:rPr>
              <w:t>70</w:t>
            </w:r>
          </w:p>
        </w:tc>
        <w:tc>
          <w:tcPr>
            <w:tcW w:w="0" w:type="auto"/>
            <w:vAlign w:val="center"/>
          </w:tcPr>
          <w:p w14:paraId="03D56EC5" w14:textId="366FE8BF" w:rsidR="0023288C" w:rsidRPr="00AD4B4F" w:rsidRDefault="00202916">
            <w:pPr>
              <w:spacing w:beforeAutospacing="1" w:afterAutospacing="1"/>
            </w:pPr>
            <w:r w:rsidRPr="00AD4B4F">
              <w:rPr>
                <w:color w:val="000000"/>
                <w:sz w:val="22"/>
              </w:rPr>
              <w:t>200.00%</w:t>
            </w:r>
          </w:p>
        </w:tc>
        <w:tc>
          <w:tcPr>
            <w:tcW w:w="0" w:type="auto"/>
            <w:vAlign w:val="center"/>
          </w:tcPr>
          <w:p w14:paraId="2E073E07" w14:textId="77777777" w:rsidR="0023288C" w:rsidRPr="00AD4B4F" w:rsidRDefault="00202916">
            <w:pPr>
              <w:spacing w:beforeAutospacing="1" w:afterAutospacing="1"/>
            </w:pPr>
            <w:r w:rsidRPr="00AD4B4F">
              <w:rPr>
                <w:color w:val="000000"/>
                <w:sz w:val="22"/>
              </w:rPr>
              <w:t>15</w:t>
            </w:r>
          </w:p>
        </w:tc>
        <w:tc>
          <w:tcPr>
            <w:tcW w:w="929" w:type="dxa"/>
            <w:vAlign w:val="center"/>
          </w:tcPr>
          <w:p w14:paraId="66E370CD" w14:textId="4D38B59B" w:rsidR="0023288C" w:rsidRPr="00AD4B4F" w:rsidRDefault="00987124">
            <w:pPr>
              <w:spacing w:beforeAutospacing="1" w:afterAutospacing="1"/>
            </w:pPr>
            <w:r>
              <w:rPr>
                <w:color w:val="000000"/>
                <w:sz w:val="22"/>
              </w:rPr>
              <w:t>3</w:t>
            </w:r>
          </w:p>
        </w:tc>
        <w:tc>
          <w:tcPr>
            <w:tcW w:w="1020" w:type="dxa"/>
            <w:vAlign w:val="center"/>
          </w:tcPr>
          <w:p w14:paraId="3E6B55A5" w14:textId="7E40AE31" w:rsidR="0023288C" w:rsidRPr="00AD4B4F" w:rsidRDefault="00202916">
            <w:pPr>
              <w:spacing w:beforeAutospacing="1" w:afterAutospacing="1"/>
            </w:pPr>
            <w:r w:rsidRPr="00AD4B4F">
              <w:rPr>
                <w:color w:val="000000"/>
                <w:sz w:val="22"/>
              </w:rPr>
              <w:t>453.33%</w:t>
            </w:r>
          </w:p>
        </w:tc>
      </w:tr>
      <w:tr w:rsidR="0023288C" w:rsidRPr="00AD4B4F" w14:paraId="6CD16955" w14:textId="77777777" w:rsidTr="002F70C2">
        <w:trPr>
          <w:cantSplit/>
        </w:trPr>
        <w:tc>
          <w:tcPr>
            <w:tcW w:w="0" w:type="auto"/>
            <w:vAlign w:val="center"/>
          </w:tcPr>
          <w:p w14:paraId="34A7657A" w14:textId="77777777" w:rsidR="0023288C" w:rsidRPr="002F70C2" w:rsidRDefault="00202916">
            <w:pPr>
              <w:spacing w:beforeAutospacing="1" w:afterAutospacing="1"/>
            </w:pPr>
            <w:r w:rsidRPr="002F70C2">
              <w:rPr>
                <w:color w:val="000000"/>
                <w:sz w:val="22"/>
              </w:rPr>
              <w:t>Interim Assistance</w:t>
            </w:r>
          </w:p>
        </w:tc>
        <w:tc>
          <w:tcPr>
            <w:tcW w:w="0" w:type="auto"/>
            <w:vAlign w:val="center"/>
          </w:tcPr>
          <w:p w14:paraId="14ECDB7B" w14:textId="77777777" w:rsidR="0023288C" w:rsidRPr="00AD4B4F" w:rsidRDefault="00202916">
            <w:pPr>
              <w:spacing w:beforeAutospacing="1" w:afterAutospacing="1"/>
            </w:pPr>
            <w:r w:rsidRPr="00AD4B4F">
              <w:rPr>
                <w:color w:val="000000"/>
                <w:sz w:val="22"/>
              </w:rPr>
              <w:t>Non-Housing Community Development</w:t>
            </w:r>
          </w:p>
        </w:tc>
        <w:tc>
          <w:tcPr>
            <w:tcW w:w="0" w:type="auto"/>
            <w:vAlign w:val="center"/>
          </w:tcPr>
          <w:p w14:paraId="5DACAF36" w14:textId="77777777" w:rsidR="0023288C" w:rsidRPr="00AD4B4F" w:rsidRDefault="00202916">
            <w:pPr>
              <w:spacing w:beforeAutospacing="1" w:afterAutospacing="1"/>
            </w:pPr>
            <w:r w:rsidRPr="00AD4B4F">
              <w:rPr>
                <w:color w:val="000000"/>
                <w:sz w:val="22"/>
              </w:rPr>
              <w:t>CDBG: $</w:t>
            </w:r>
          </w:p>
        </w:tc>
        <w:tc>
          <w:tcPr>
            <w:tcW w:w="0" w:type="auto"/>
            <w:vAlign w:val="center"/>
          </w:tcPr>
          <w:p w14:paraId="44CA86EE" w14:textId="77777777" w:rsidR="0023288C" w:rsidRPr="00AD4B4F" w:rsidRDefault="00202916">
            <w:pPr>
              <w:spacing w:beforeAutospacing="1" w:afterAutospacing="1"/>
            </w:pPr>
            <w:r w:rsidRPr="00AD4B4F">
              <w:rPr>
                <w:color w:val="000000"/>
                <w:sz w:val="22"/>
              </w:rPr>
              <w:t>Housing Code Enforcement/Foreclosed Property Care</w:t>
            </w:r>
          </w:p>
        </w:tc>
        <w:tc>
          <w:tcPr>
            <w:tcW w:w="0" w:type="auto"/>
            <w:vAlign w:val="center"/>
          </w:tcPr>
          <w:p w14:paraId="28A729E9" w14:textId="77777777" w:rsidR="0023288C" w:rsidRPr="00AD4B4F" w:rsidRDefault="00202916">
            <w:pPr>
              <w:spacing w:beforeAutospacing="1" w:afterAutospacing="1"/>
            </w:pPr>
            <w:r w:rsidRPr="00AD4B4F">
              <w:rPr>
                <w:color w:val="000000"/>
                <w:sz w:val="22"/>
              </w:rPr>
              <w:t>Household Housing Unit</w:t>
            </w:r>
          </w:p>
        </w:tc>
        <w:tc>
          <w:tcPr>
            <w:tcW w:w="0" w:type="auto"/>
            <w:vAlign w:val="center"/>
          </w:tcPr>
          <w:p w14:paraId="2FFF9421" w14:textId="77777777" w:rsidR="0023288C" w:rsidRPr="00AD4B4F" w:rsidRDefault="00202916">
            <w:pPr>
              <w:spacing w:beforeAutospacing="1" w:afterAutospacing="1"/>
            </w:pPr>
            <w:r w:rsidRPr="00AD4B4F">
              <w:rPr>
                <w:color w:val="000000"/>
                <w:sz w:val="22"/>
              </w:rPr>
              <w:t>0</w:t>
            </w:r>
          </w:p>
        </w:tc>
        <w:tc>
          <w:tcPr>
            <w:tcW w:w="0" w:type="auto"/>
            <w:vAlign w:val="center"/>
          </w:tcPr>
          <w:p w14:paraId="7AE29093" w14:textId="77777777" w:rsidR="0023288C" w:rsidRPr="00AD4B4F" w:rsidRDefault="00202916">
            <w:pPr>
              <w:spacing w:beforeAutospacing="1" w:afterAutospacing="1"/>
            </w:pPr>
            <w:r w:rsidRPr="00AD4B4F">
              <w:rPr>
                <w:color w:val="000000"/>
                <w:sz w:val="22"/>
              </w:rPr>
              <w:t>0</w:t>
            </w:r>
          </w:p>
        </w:tc>
        <w:tc>
          <w:tcPr>
            <w:tcW w:w="0" w:type="auto"/>
            <w:vAlign w:val="center"/>
          </w:tcPr>
          <w:p w14:paraId="60D14864" w14:textId="77777777" w:rsidR="0023288C" w:rsidRPr="00AD4B4F" w:rsidRDefault="00202916">
            <w:pPr>
              <w:spacing w:beforeAutospacing="1" w:afterAutospacing="1"/>
            </w:pPr>
            <w:r w:rsidRPr="00AD4B4F">
              <w:rPr>
                <w:color w:val="000000"/>
                <w:sz w:val="22"/>
              </w:rPr>
              <w:t xml:space="preserve"> </w:t>
            </w:r>
          </w:p>
        </w:tc>
        <w:tc>
          <w:tcPr>
            <w:tcW w:w="0" w:type="auto"/>
            <w:vAlign w:val="center"/>
          </w:tcPr>
          <w:p w14:paraId="57D3213C" w14:textId="541D03CD" w:rsidR="0023288C" w:rsidRPr="00AD4B4F" w:rsidRDefault="0023288C">
            <w:pPr>
              <w:spacing w:beforeAutospacing="1" w:afterAutospacing="1"/>
            </w:pPr>
          </w:p>
        </w:tc>
        <w:tc>
          <w:tcPr>
            <w:tcW w:w="929" w:type="dxa"/>
            <w:vAlign w:val="center"/>
          </w:tcPr>
          <w:p w14:paraId="59AECCC4" w14:textId="37C9CF28" w:rsidR="0023288C" w:rsidRPr="00AD4B4F" w:rsidRDefault="0023288C">
            <w:pPr>
              <w:spacing w:beforeAutospacing="1" w:afterAutospacing="1"/>
            </w:pPr>
          </w:p>
        </w:tc>
        <w:tc>
          <w:tcPr>
            <w:tcW w:w="1020" w:type="dxa"/>
            <w:vAlign w:val="center"/>
          </w:tcPr>
          <w:p w14:paraId="21F27078" w14:textId="191E3AFE" w:rsidR="0023288C" w:rsidRPr="00AD4B4F" w:rsidRDefault="0023288C">
            <w:pPr>
              <w:spacing w:beforeAutospacing="1" w:afterAutospacing="1"/>
            </w:pPr>
          </w:p>
        </w:tc>
      </w:tr>
      <w:tr w:rsidR="002F70C2" w:rsidRPr="00AD4B4F" w14:paraId="1244B89F" w14:textId="77777777" w:rsidTr="002F70C2">
        <w:trPr>
          <w:cantSplit/>
        </w:trPr>
        <w:tc>
          <w:tcPr>
            <w:tcW w:w="0" w:type="auto"/>
            <w:vAlign w:val="center"/>
          </w:tcPr>
          <w:p w14:paraId="38C2D57E" w14:textId="77777777" w:rsidR="002F70C2" w:rsidRPr="002F70C2" w:rsidRDefault="002F70C2" w:rsidP="002F70C2">
            <w:pPr>
              <w:spacing w:beforeAutospacing="1" w:afterAutospacing="1"/>
            </w:pPr>
            <w:r w:rsidRPr="002F70C2">
              <w:rPr>
                <w:color w:val="000000"/>
                <w:sz w:val="22"/>
              </w:rPr>
              <w:t>Interim Assistance</w:t>
            </w:r>
          </w:p>
        </w:tc>
        <w:tc>
          <w:tcPr>
            <w:tcW w:w="0" w:type="auto"/>
            <w:vAlign w:val="center"/>
          </w:tcPr>
          <w:p w14:paraId="2585271B" w14:textId="77777777" w:rsidR="002F70C2" w:rsidRPr="00AD4B4F" w:rsidRDefault="002F70C2" w:rsidP="002F70C2">
            <w:pPr>
              <w:spacing w:beforeAutospacing="1" w:afterAutospacing="1"/>
            </w:pPr>
            <w:r w:rsidRPr="00AD4B4F">
              <w:rPr>
                <w:color w:val="000000"/>
                <w:sz w:val="22"/>
              </w:rPr>
              <w:t>Non-Housing Community Development</w:t>
            </w:r>
          </w:p>
        </w:tc>
        <w:tc>
          <w:tcPr>
            <w:tcW w:w="0" w:type="auto"/>
            <w:vAlign w:val="center"/>
          </w:tcPr>
          <w:p w14:paraId="0039F29B" w14:textId="77777777" w:rsidR="002F70C2" w:rsidRPr="00AD4B4F" w:rsidRDefault="002F70C2" w:rsidP="002F70C2">
            <w:pPr>
              <w:spacing w:beforeAutospacing="1" w:afterAutospacing="1"/>
            </w:pPr>
            <w:r w:rsidRPr="00AD4B4F">
              <w:rPr>
                <w:color w:val="000000"/>
                <w:sz w:val="22"/>
              </w:rPr>
              <w:t>CDBG: $</w:t>
            </w:r>
          </w:p>
        </w:tc>
        <w:tc>
          <w:tcPr>
            <w:tcW w:w="0" w:type="auto"/>
            <w:vAlign w:val="center"/>
          </w:tcPr>
          <w:p w14:paraId="4A1CD5D6"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4F444F0E"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0A99ABEC" w14:textId="77777777" w:rsidR="002F70C2" w:rsidRPr="00AD4B4F" w:rsidRDefault="002F70C2" w:rsidP="002F70C2">
            <w:pPr>
              <w:spacing w:beforeAutospacing="1" w:afterAutospacing="1"/>
            </w:pPr>
            <w:r w:rsidRPr="00AD4B4F">
              <w:rPr>
                <w:color w:val="000000"/>
                <w:sz w:val="22"/>
              </w:rPr>
              <w:t>300</w:t>
            </w:r>
          </w:p>
        </w:tc>
        <w:tc>
          <w:tcPr>
            <w:tcW w:w="0" w:type="auto"/>
            <w:vAlign w:val="center"/>
          </w:tcPr>
          <w:p w14:paraId="44653C6C" w14:textId="77777777" w:rsidR="002F70C2" w:rsidRPr="00AD4B4F" w:rsidRDefault="002F70C2" w:rsidP="002F70C2">
            <w:pPr>
              <w:spacing w:beforeAutospacing="1" w:afterAutospacing="1"/>
            </w:pPr>
            <w:r w:rsidRPr="00AD4B4F">
              <w:rPr>
                <w:color w:val="000000"/>
                <w:sz w:val="22"/>
              </w:rPr>
              <w:t>245</w:t>
            </w:r>
          </w:p>
        </w:tc>
        <w:tc>
          <w:tcPr>
            <w:tcW w:w="0" w:type="auto"/>
            <w:vAlign w:val="center"/>
          </w:tcPr>
          <w:p w14:paraId="7ACBE435" w14:textId="1AC234ED" w:rsidR="002F70C2" w:rsidRPr="00AD4B4F" w:rsidRDefault="002F70C2" w:rsidP="002F70C2">
            <w:pPr>
              <w:spacing w:beforeAutospacing="1" w:afterAutospacing="1"/>
            </w:pPr>
            <w:r w:rsidRPr="00AD4B4F">
              <w:rPr>
                <w:color w:val="000000"/>
                <w:sz w:val="22"/>
              </w:rPr>
              <w:t xml:space="preserve"> 81.67%</w:t>
            </w:r>
          </w:p>
        </w:tc>
        <w:tc>
          <w:tcPr>
            <w:tcW w:w="0" w:type="auto"/>
            <w:vAlign w:val="center"/>
          </w:tcPr>
          <w:p w14:paraId="7AFEB172" w14:textId="091184ED" w:rsidR="002F70C2" w:rsidRPr="00AD4B4F" w:rsidRDefault="002F70C2" w:rsidP="002F70C2">
            <w:pPr>
              <w:spacing w:beforeAutospacing="1" w:afterAutospacing="1"/>
            </w:pPr>
            <w:r w:rsidRPr="00AD4B4F">
              <w:rPr>
                <w:color w:val="000000"/>
                <w:sz w:val="22"/>
              </w:rPr>
              <w:t>75</w:t>
            </w:r>
          </w:p>
        </w:tc>
        <w:tc>
          <w:tcPr>
            <w:tcW w:w="929" w:type="dxa"/>
            <w:vAlign w:val="center"/>
          </w:tcPr>
          <w:p w14:paraId="17EA6DB5" w14:textId="2E476997" w:rsidR="002F70C2" w:rsidRPr="00AD4B4F" w:rsidRDefault="002F70C2" w:rsidP="002F70C2">
            <w:pPr>
              <w:spacing w:beforeAutospacing="1" w:afterAutospacing="1"/>
            </w:pPr>
            <w:r>
              <w:rPr>
                <w:color w:val="000000"/>
                <w:sz w:val="22"/>
              </w:rPr>
              <w:t>230</w:t>
            </w:r>
          </w:p>
        </w:tc>
        <w:tc>
          <w:tcPr>
            <w:tcW w:w="1020" w:type="dxa"/>
            <w:vAlign w:val="center"/>
          </w:tcPr>
          <w:p w14:paraId="177F8602" w14:textId="207E1292" w:rsidR="002F70C2" w:rsidRPr="00AD4B4F" w:rsidRDefault="002F70C2" w:rsidP="002F70C2">
            <w:pPr>
              <w:spacing w:beforeAutospacing="1" w:afterAutospacing="1"/>
            </w:pPr>
            <w:r>
              <w:rPr>
                <w:color w:val="000000"/>
                <w:sz w:val="22"/>
              </w:rPr>
              <w:t>270.6</w:t>
            </w:r>
            <w:r w:rsidRPr="00AD4B4F">
              <w:rPr>
                <w:color w:val="000000"/>
                <w:sz w:val="22"/>
              </w:rPr>
              <w:t>0%</w:t>
            </w:r>
          </w:p>
        </w:tc>
      </w:tr>
      <w:tr w:rsidR="002F70C2" w:rsidRPr="00AD4B4F" w14:paraId="2261EFC5" w14:textId="77777777" w:rsidTr="002F70C2">
        <w:trPr>
          <w:cantSplit/>
        </w:trPr>
        <w:tc>
          <w:tcPr>
            <w:tcW w:w="0" w:type="auto"/>
            <w:vAlign w:val="center"/>
          </w:tcPr>
          <w:p w14:paraId="716B6095" w14:textId="77777777" w:rsidR="002F70C2" w:rsidRPr="002F70C2" w:rsidRDefault="002F70C2" w:rsidP="002F70C2">
            <w:pPr>
              <w:spacing w:beforeAutospacing="1" w:afterAutospacing="1"/>
            </w:pPr>
            <w:r w:rsidRPr="002F70C2">
              <w:rPr>
                <w:color w:val="000000"/>
                <w:sz w:val="22"/>
              </w:rPr>
              <w:t>Planning/Administration</w:t>
            </w:r>
          </w:p>
        </w:tc>
        <w:tc>
          <w:tcPr>
            <w:tcW w:w="0" w:type="auto"/>
            <w:vAlign w:val="center"/>
          </w:tcPr>
          <w:p w14:paraId="3F653681" w14:textId="77777777" w:rsidR="002F70C2" w:rsidRPr="00AD4B4F" w:rsidRDefault="002F70C2" w:rsidP="002F70C2">
            <w:pPr>
              <w:spacing w:beforeAutospacing="1" w:afterAutospacing="1"/>
            </w:pPr>
            <w:r w:rsidRPr="00AD4B4F">
              <w:rPr>
                <w:color w:val="000000"/>
                <w:sz w:val="22"/>
              </w:rPr>
              <w:t>Admin</w:t>
            </w:r>
          </w:p>
        </w:tc>
        <w:tc>
          <w:tcPr>
            <w:tcW w:w="0" w:type="auto"/>
            <w:vAlign w:val="center"/>
          </w:tcPr>
          <w:p w14:paraId="28E8CECD" w14:textId="77777777" w:rsidR="002F70C2" w:rsidRPr="00AD4B4F" w:rsidRDefault="002F70C2" w:rsidP="002F70C2">
            <w:pPr>
              <w:spacing w:beforeAutospacing="1" w:afterAutospacing="1"/>
            </w:pPr>
            <w:r w:rsidRPr="00AD4B4F">
              <w:rPr>
                <w:color w:val="000000"/>
                <w:sz w:val="22"/>
              </w:rPr>
              <w:t>CDBG: $ / HOME: $</w:t>
            </w:r>
          </w:p>
        </w:tc>
        <w:tc>
          <w:tcPr>
            <w:tcW w:w="0" w:type="auto"/>
            <w:vAlign w:val="center"/>
          </w:tcPr>
          <w:p w14:paraId="06526372"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21BDBF25"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075AA0CC" w14:textId="77777777" w:rsidR="002F70C2" w:rsidRPr="00AD4B4F" w:rsidRDefault="002F70C2" w:rsidP="002F70C2">
            <w:pPr>
              <w:spacing w:beforeAutospacing="1" w:afterAutospacing="1"/>
            </w:pPr>
            <w:r w:rsidRPr="00AD4B4F">
              <w:rPr>
                <w:color w:val="000000"/>
                <w:sz w:val="22"/>
              </w:rPr>
              <w:t>10</w:t>
            </w:r>
          </w:p>
        </w:tc>
        <w:tc>
          <w:tcPr>
            <w:tcW w:w="0" w:type="auto"/>
            <w:vAlign w:val="center"/>
          </w:tcPr>
          <w:p w14:paraId="3AD767FC" w14:textId="754C8E5B" w:rsidR="002F70C2" w:rsidRPr="00AD4B4F" w:rsidRDefault="002F70C2" w:rsidP="002F70C2">
            <w:pPr>
              <w:spacing w:beforeAutospacing="1" w:afterAutospacing="1"/>
            </w:pPr>
            <w:r>
              <w:rPr>
                <w:color w:val="000000"/>
                <w:sz w:val="22"/>
              </w:rPr>
              <w:t>6</w:t>
            </w:r>
          </w:p>
        </w:tc>
        <w:tc>
          <w:tcPr>
            <w:tcW w:w="0" w:type="auto"/>
            <w:vAlign w:val="center"/>
          </w:tcPr>
          <w:p w14:paraId="74BCF906" w14:textId="1384313C" w:rsidR="002F70C2" w:rsidRPr="00AD4B4F" w:rsidRDefault="002F70C2" w:rsidP="002F70C2">
            <w:pPr>
              <w:spacing w:beforeAutospacing="1" w:afterAutospacing="1"/>
            </w:pPr>
            <w:r>
              <w:rPr>
                <w:color w:val="000000"/>
                <w:sz w:val="22"/>
              </w:rPr>
              <w:t>60</w:t>
            </w:r>
            <w:r w:rsidRPr="00AD4B4F">
              <w:rPr>
                <w:color w:val="000000"/>
                <w:sz w:val="22"/>
              </w:rPr>
              <w:t>.00%</w:t>
            </w:r>
          </w:p>
        </w:tc>
        <w:tc>
          <w:tcPr>
            <w:tcW w:w="0" w:type="auto"/>
            <w:vAlign w:val="center"/>
          </w:tcPr>
          <w:p w14:paraId="10AA4A27" w14:textId="77777777" w:rsidR="002F70C2" w:rsidRPr="00AD4B4F" w:rsidRDefault="002F70C2" w:rsidP="002F70C2">
            <w:pPr>
              <w:spacing w:beforeAutospacing="1" w:afterAutospacing="1"/>
            </w:pPr>
            <w:r w:rsidRPr="00AD4B4F">
              <w:rPr>
                <w:color w:val="000000"/>
                <w:sz w:val="22"/>
              </w:rPr>
              <w:t>2</w:t>
            </w:r>
          </w:p>
        </w:tc>
        <w:tc>
          <w:tcPr>
            <w:tcW w:w="929" w:type="dxa"/>
            <w:vAlign w:val="center"/>
          </w:tcPr>
          <w:p w14:paraId="6FEB6E17" w14:textId="20986BFB" w:rsidR="002F70C2" w:rsidRPr="00AD4B4F" w:rsidRDefault="002F70C2" w:rsidP="002F70C2">
            <w:pPr>
              <w:spacing w:beforeAutospacing="1" w:afterAutospacing="1"/>
            </w:pPr>
            <w:r>
              <w:t>2</w:t>
            </w:r>
          </w:p>
        </w:tc>
        <w:tc>
          <w:tcPr>
            <w:tcW w:w="1020" w:type="dxa"/>
            <w:vAlign w:val="center"/>
          </w:tcPr>
          <w:p w14:paraId="35EB63D7" w14:textId="13674B4B" w:rsidR="002F70C2" w:rsidRPr="00AD4B4F" w:rsidRDefault="002F70C2" w:rsidP="002F70C2">
            <w:pPr>
              <w:spacing w:beforeAutospacing="1" w:afterAutospacing="1"/>
            </w:pPr>
            <w:r>
              <w:rPr>
                <w:color w:val="000000"/>
                <w:sz w:val="22"/>
              </w:rPr>
              <w:t>10</w:t>
            </w:r>
            <w:r w:rsidRPr="00AD4B4F">
              <w:rPr>
                <w:color w:val="000000"/>
                <w:sz w:val="22"/>
              </w:rPr>
              <w:t>0.00%</w:t>
            </w:r>
          </w:p>
        </w:tc>
      </w:tr>
      <w:tr w:rsidR="002F70C2" w:rsidRPr="00AD4B4F" w14:paraId="09610CA6" w14:textId="77777777" w:rsidTr="002F70C2">
        <w:trPr>
          <w:cantSplit/>
        </w:trPr>
        <w:tc>
          <w:tcPr>
            <w:tcW w:w="0" w:type="auto"/>
            <w:vAlign w:val="center"/>
          </w:tcPr>
          <w:p w14:paraId="2238290B" w14:textId="77777777" w:rsidR="002F70C2" w:rsidRPr="002F70C2" w:rsidRDefault="002F70C2" w:rsidP="002F70C2">
            <w:pPr>
              <w:spacing w:beforeAutospacing="1" w:afterAutospacing="1"/>
            </w:pPr>
            <w:r w:rsidRPr="002F70C2">
              <w:rPr>
                <w:color w:val="000000"/>
                <w:sz w:val="22"/>
              </w:rPr>
              <w:lastRenderedPageBreak/>
              <w:t>Provide home rehabilitation assistance</w:t>
            </w:r>
          </w:p>
        </w:tc>
        <w:tc>
          <w:tcPr>
            <w:tcW w:w="0" w:type="auto"/>
            <w:vAlign w:val="center"/>
          </w:tcPr>
          <w:p w14:paraId="5F8B419E" w14:textId="77777777" w:rsidR="002F70C2" w:rsidRPr="00AD4B4F" w:rsidRDefault="002F70C2" w:rsidP="002F70C2">
            <w:pPr>
              <w:spacing w:beforeAutospacing="1" w:afterAutospacing="1"/>
            </w:pPr>
            <w:r w:rsidRPr="00AD4B4F">
              <w:rPr>
                <w:color w:val="000000"/>
                <w:sz w:val="22"/>
              </w:rPr>
              <w:t>Affordable Housing</w:t>
            </w:r>
          </w:p>
        </w:tc>
        <w:tc>
          <w:tcPr>
            <w:tcW w:w="0" w:type="auto"/>
            <w:vAlign w:val="center"/>
          </w:tcPr>
          <w:p w14:paraId="7C613432" w14:textId="77777777" w:rsidR="002F70C2" w:rsidRPr="00AD4B4F" w:rsidRDefault="002F70C2" w:rsidP="002F70C2">
            <w:pPr>
              <w:spacing w:beforeAutospacing="1" w:afterAutospacing="1"/>
            </w:pPr>
            <w:r w:rsidRPr="00AD4B4F">
              <w:rPr>
                <w:color w:val="000000"/>
                <w:sz w:val="22"/>
              </w:rPr>
              <w:t>CDBG: $</w:t>
            </w:r>
          </w:p>
        </w:tc>
        <w:tc>
          <w:tcPr>
            <w:tcW w:w="0" w:type="auto"/>
            <w:vAlign w:val="center"/>
          </w:tcPr>
          <w:p w14:paraId="381C4E49" w14:textId="77777777" w:rsidR="002F70C2" w:rsidRPr="00AD4B4F" w:rsidRDefault="002F70C2" w:rsidP="002F70C2">
            <w:pPr>
              <w:spacing w:beforeAutospacing="1" w:afterAutospacing="1"/>
            </w:pPr>
            <w:r w:rsidRPr="00AD4B4F">
              <w:rPr>
                <w:color w:val="000000"/>
                <w:sz w:val="22"/>
              </w:rPr>
              <w:t>Homeowner Housing Rehabilitated</w:t>
            </w:r>
          </w:p>
        </w:tc>
        <w:tc>
          <w:tcPr>
            <w:tcW w:w="0" w:type="auto"/>
            <w:vAlign w:val="center"/>
          </w:tcPr>
          <w:p w14:paraId="30F4248E" w14:textId="77777777" w:rsidR="002F70C2" w:rsidRPr="00AD4B4F" w:rsidRDefault="002F70C2" w:rsidP="002F70C2">
            <w:pPr>
              <w:spacing w:beforeAutospacing="1" w:afterAutospacing="1"/>
            </w:pPr>
            <w:r w:rsidRPr="00AD4B4F">
              <w:rPr>
                <w:color w:val="000000"/>
                <w:sz w:val="22"/>
              </w:rPr>
              <w:t>Household Housing Unit</w:t>
            </w:r>
          </w:p>
        </w:tc>
        <w:tc>
          <w:tcPr>
            <w:tcW w:w="0" w:type="auto"/>
            <w:vAlign w:val="center"/>
          </w:tcPr>
          <w:p w14:paraId="212B33DB" w14:textId="77777777" w:rsidR="002F70C2" w:rsidRPr="00AD4B4F" w:rsidRDefault="002F70C2" w:rsidP="002F70C2">
            <w:pPr>
              <w:spacing w:beforeAutospacing="1" w:afterAutospacing="1"/>
            </w:pPr>
            <w:r w:rsidRPr="00AD4B4F">
              <w:rPr>
                <w:color w:val="000000"/>
                <w:sz w:val="22"/>
              </w:rPr>
              <w:t>35</w:t>
            </w:r>
          </w:p>
        </w:tc>
        <w:tc>
          <w:tcPr>
            <w:tcW w:w="0" w:type="auto"/>
            <w:vAlign w:val="center"/>
          </w:tcPr>
          <w:p w14:paraId="11710AFD" w14:textId="77777777" w:rsidR="002F70C2" w:rsidRPr="00AD4B4F" w:rsidRDefault="002F70C2" w:rsidP="002F70C2">
            <w:pPr>
              <w:spacing w:beforeAutospacing="1" w:afterAutospacing="1"/>
            </w:pPr>
            <w:r w:rsidRPr="00AD4B4F">
              <w:rPr>
                <w:color w:val="000000"/>
                <w:sz w:val="22"/>
              </w:rPr>
              <w:t>4</w:t>
            </w:r>
          </w:p>
        </w:tc>
        <w:tc>
          <w:tcPr>
            <w:tcW w:w="0" w:type="auto"/>
            <w:vAlign w:val="center"/>
          </w:tcPr>
          <w:p w14:paraId="38BF48C1" w14:textId="77777777" w:rsidR="002F70C2" w:rsidRPr="00AD4B4F" w:rsidRDefault="002F70C2" w:rsidP="002F70C2">
            <w:pPr>
              <w:spacing w:beforeAutospacing="1" w:afterAutospacing="1"/>
            </w:pPr>
            <w:r w:rsidRPr="00AD4B4F">
              <w:rPr>
                <w:color w:val="000000"/>
                <w:sz w:val="22"/>
              </w:rPr>
              <w:t xml:space="preserve">        11.43%</w:t>
            </w:r>
          </w:p>
        </w:tc>
        <w:tc>
          <w:tcPr>
            <w:tcW w:w="0" w:type="auto"/>
            <w:vAlign w:val="center"/>
          </w:tcPr>
          <w:p w14:paraId="1D56DA79" w14:textId="77777777" w:rsidR="002F70C2" w:rsidRPr="00AD4B4F" w:rsidRDefault="002F70C2" w:rsidP="002F70C2">
            <w:pPr>
              <w:spacing w:beforeAutospacing="1" w:afterAutospacing="1"/>
            </w:pPr>
            <w:r w:rsidRPr="00AD4B4F">
              <w:rPr>
                <w:color w:val="000000"/>
                <w:sz w:val="22"/>
              </w:rPr>
              <w:t>0</w:t>
            </w:r>
          </w:p>
        </w:tc>
        <w:tc>
          <w:tcPr>
            <w:tcW w:w="929" w:type="dxa"/>
            <w:vAlign w:val="center"/>
          </w:tcPr>
          <w:p w14:paraId="28081CF0" w14:textId="77777777" w:rsidR="002F70C2" w:rsidRPr="00AD4B4F" w:rsidRDefault="002F70C2" w:rsidP="002F70C2">
            <w:pPr>
              <w:spacing w:beforeAutospacing="1" w:afterAutospacing="1"/>
            </w:pPr>
            <w:r w:rsidRPr="00AD4B4F">
              <w:rPr>
                <w:color w:val="000000"/>
                <w:sz w:val="22"/>
              </w:rPr>
              <w:t>1</w:t>
            </w:r>
          </w:p>
        </w:tc>
        <w:tc>
          <w:tcPr>
            <w:tcW w:w="1020" w:type="dxa"/>
            <w:vAlign w:val="center"/>
          </w:tcPr>
          <w:p w14:paraId="5A4AF9E1" w14:textId="77777777" w:rsidR="002F70C2" w:rsidRPr="00AD4B4F" w:rsidRDefault="002F70C2" w:rsidP="002F70C2">
            <w:pPr>
              <w:spacing w:beforeAutospacing="1" w:afterAutospacing="1"/>
            </w:pPr>
            <w:r w:rsidRPr="00AD4B4F">
              <w:rPr>
                <w:color w:val="000000"/>
                <w:sz w:val="22"/>
              </w:rPr>
              <w:t xml:space="preserve"> </w:t>
            </w:r>
          </w:p>
        </w:tc>
      </w:tr>
      <w:tr w:rsidR="002F70C2" w:rsidRPr="00AD4B4F" w14:paraId="186BBD82" w14:textId="77777777" w:rsidTr="002F70C2">
        <w:trPr>
          <w:cantSplit/>
        </w:trPr>
        <w:tc>
          <w:tcPr>
            <w:tcW w:w="0" w:type="auto"/>
            <w:vAlign w:val="center"/>
          </w:tcPr>
          <w:p w14:paraId="6B2F02F6" w14:textId="77777777" w:rsidR="002F70C2" w:rsidRPr="002F70C2" w:rsidRDefault="002F70C2" w:rsidP="002F70C2">
            <w:pPr>
              <w:spacing w:beforeAutospacing="1" w:afterAutospacing="1"/>
            </w:pPr>
            <w:r w:rsidRPr="002F70C2">
              <w:rPr>
                <w:color w:val="000000"/>
                <w:sz w:val="22"/>
              </w:rPr>
              <w:t>Provide Public Services</w:t>
            </w:r>
          </w:p>
        </w:tc>
        <w:tc>
          <w:tcPr>
            <w:tcW w:w="0" w:type="auto"/>
            <w:vAlign w:val="center"/>
          </w:tcPr>
          <w:p w14:paraId="05917C39" w14:textId="77777777" w:rsidR="002F70C2" w:rsidRPr="00AD4B4F" w:rsidRDefault="002F70C2" w:rsidP="002F70C2">
            <w:pPr>
              <w:spacing w:beforeAutospacing="1" w:afterAutospacing="1"/>
            </w:pPr>
            <w:r w:rsidRPr="00AD4B4F">
              <w:rPr>
                <w:color w:val="000000"/>
                <w:sz w:val="22"/>
              </w:rPr>
              <w:t>Affordable Housing</w:t>
            </w:r>
            <w:r w:rsidRPr="00AD4B4F">
              <w:rPr>
                <w:color w:val="000000"/>
                <w:sz w:val="22"/>
              </w:rPr>
              <w:br/>
              <w:t>Non-Homeless Special Needs</w:t>
            </w:r>
          </w:p>
        </w:tc>
        <w:tc>
          <w:tcPr>
            <w:tcW w:w="0" w:type="auto"/>
            <w:vAlign w:val="center"/>
          </w:tcPr>
          <w:p w14:paraId="39575D11" w14:textId="77777777" w:rsidR="002F70C2" w:rsidRPr="00AD4B4F" w:rsidRDefault="002F70C2" w:rsidP="002F70C2">
            <w:pPr>
              <w:spacing w:beforeAutospacing="1" w:afterAutospacing="1"/>
            </w:pPr>
            <w:r w:rsidRPr="00AD4B4F">
              <w:rPr>
                <w:color w:val="000000"/>
                <w:sz w:val="22"/>
              </w:rPr>
              <w:t>CDBG: $</w:t>
            </w:r>
          </w:p>
        </w:tc>
        <w:tc>
          <w:tcPr>
            <w:tcW w:w="0" w:type="auto"/>
            <w:vAlign w:val="center"/>
          </w:tcPr>
          <w:p w14:paraId="679A1E27" w14:textId="77777777" w:rsidR="002F70C2" w:rsidRPr="00AD4B4F" w:rsidRDefault="002F70C2" w:rsidP="002F70C2">
            <w:pPr>
              <w:spacing w:beforeAutospacing="1" w:afterAutospacing="1"/>
            </w:pPr>
            <w:r w:rsidRPr="00AD4B4F">
              <w:rPr>
                <w:color w:val="000000"/>
                <w:sz w:val="22"/>
              </w:rPr>
              <w:t>Public service activities other than Low/Moderate Income Housing Benefit</w:t>
            </w:r>
          </w:p>
        </w:tc>
        <w:tc>
          <w:tcPr>
            <w:tcW w:w="0" w:type="auto"/>
            <w:vAlign w:val="center"/>
          </w:tcPr>
          <w:p w14:paraId="1E83BB3A" w14:textId="77777777" w:rsidR="002F70C2" w:rsidRPr="00AD4B4F" w:rsidRDefault="002F70C2" w:rsidP="002F70C2">
            <w:pPr>
              <w:spacing w:beforeAutospacing="1" w:afterAutospacing="1"/>
            </w:pPr>
            <w:r w:rsidRPr="00AD4B4F">
              <w:rPr>
                <w:color w:val="000000"/>
                <w:sz w:val="22"/>
              </w:rPr>
              <w:t>Persons Assisted</w:t>
            </w:r>
          </w:p>
        </w:tc>
        <w:tc>
          <w:tcPr>
            <w:tcW w:w="0" w:type="auto"/>
            <w:vAlign w:val="center"/>
          </w:tcPr>
          <w:p w14:paraId="3EB2599E" w14:textId="77777777" w:rsidR="002F70C2" w:rsidRPr="00AD4B4F" w:rsidRDefault="002F70C2" w:rsidP="002F70C2">
            <w:pPr>
              <w:spacing w:beforeAutospacing="1" w:afterAutospacing="1"/>
            </w:pPr>
            <w:r w:rsidRPr="00AD4B4F">
              <w:rPr>
                <w:color w:val="000000"/>
                <w:sz w:val="22"/>
              </w:rPr>
              <w:t>185</w:t>
            </w:r>
          </w:p>
        </w:tc>
        <w:tc>
          <w:tcPr>
            <w:tcW w:w="0" w:type="auto"/>
            <w:vAlign w:val="center"/>
          </w:tcPr>
          <w:p w14:paraId="5B24C90E" w14:textId="071D72C1" w:rsidR="002F70C2" w:rsidRPr="00AD4B4F" w:rsidRDefault="002F70C2" w:rsidP="002F70C2">
            <w:pPr>
              <w:spacing w:beforeAutospacing="1" w:afterAutospacing="1"/>
            </w:pPr>
            <w:r w:rsidRPr="00AD4B4F">
              <w:rPr>
                <w:color w:val="000000"/>
                <w:sz w:val="22"/>
              </w:rPr>
              <w:t>1</w:t>
            </w:r>
            <w:r>
              <w:rPr>
                <w:color w:val="000000"/>
                <w:sz w:val="22"/>
              </w:rPr>
              <w:t>777</w:t>
            </w:r>
          </w:p>
        </w:tc>
        <w:tc>
          <w:tcPr>
            <w:tcW w:w="0" w:type="auto"/>
            <w:vAlign w:val="center"/>
          </w:tcPr>
          <w:p w14:paraId="2D4202F1" w14:textId="039985F7" w:rsidR="002F70C2" w:rsidRPr="00AD4B4F" w:rsidRDefault="002F70C2" w:rsidP="002F70C2">
            <w:pPr>
              <w:spacing w:beforeAutospacing="1" w:afterAutospacing="1"/>
            </w:pPr>
            <w:r>
              <w:rPr>
                <w:color w:val="000000"/>
                <w:sz w:val="22"/>
              </w:rPr>
              <w:t>960.54</w:t>
            </w:r>
            <w:r w:rsidRPr="00AD4B4F">
              <w:rPr>
                <w:color w:val="000000"/>
                <w:sz w:val="22"/>
              </w:rPr>
              <w:t>%</w:t>
            </w:r>
          </w:p>
        </w:tc>
        <w:tc>
          <w:tcPr>
            <w:tcW w:w="0" w:type="auto"/>
            <w:vAlign w:val="center"/>
          </w:tcPr>
          <w:p w14:paraId="58779DC2" w14:textId="77777777" w:rsidR="002F70C2" w:rsidRPr="00AD4B4F" w:rsidRDefault="002F70C2" w:rsidP="002F70C2">
            <w:pPr>
              <w:spacing w:beforeAutospacing="1" w:afterAutospacing="1"/>
            </w:pPr>
            <w:r w:rsidRPr="00AD4B4F">
              <w:rPr>
                <w:color w:val="000000"/>
                <w:sz w:val="22"/>
              </w:rPr>
              <w:t>1430</w:t>
            </w:r>
          </w:p>
        </w:tc>
        <w:tc>
          <w:tcPr>
            <w:tcW w:w="929" w:type="dxa"/>
            <w:vAlign w:val="center"/>
          </w:tcPr>
          <w:p w14:paraId="7FEBFCE1" w14:textId="0C643C1D" w:rsidR="002F70C2" w:rsidRPr="00AD4B4F" w:rsidRDefault="002F70C2" w:rsidP="002F70C2">
            <w:pPr>
              <w:spacing w:beforeAutospacing="1" w:afterAutospacing="1"/>
            </w:pPr>
            <w:r>
              <w:rPr>
                <w:color w:val="000000"/>
                <w:sz w:val="22"/>
              </w:rPr>
              <w:t>470</w:t>
            </w:r>
          </w:p>
        </w:tc>
        <w:tc>
          <w:tcPr>
            <w:tcW w:w="1020" w:type="dxa"/>
            <w:vAlign w:val="center"/>
          </w:tcPr>
          <w:p w14:paraId="1B51490A" w14:textId="64398ECE" w:rsidR="002F70C2" w:rsidRPr="00AD4B4F" w:rsidRDefault="002F70C2" w:rsidP="002F70C2">
            <w:pPr>
              <w:spacing w:beforeAutospacing="1" w:afterAutospacing="1"/>
            </w:pPr>
            <w:r w:rsidRPr="00AD4B4F">
              <w:rPr>
                <w:color w:val="000000"/>
                <w:sz w:val="22"/>
              </w:rPr>
              <w:t xml:space="preserve"> </w:t>
            </w:r>
            <w:r>
              <w:rPr>
                <w:color w:val="000000"/>
                <w:sz w:val="22"/>
              </w:rPr>
              <w:t>32.86</w:t>
            </w:r>
            <w:r w:rsidRPr="00AD4B4F">
              <w:rPr>
                <w:color w:val="000000"/>
                <w:sz w:val="22"/>
              </w:rPr>
              <w:t>%</w:t>
            </w:r>
          </w:p>
        </w:tc>
      </w:tr>
      <w:tr w:rsidR="002F70C2" w:rsidRPr="00AD4B4F" w14:paraId="06A310D4" w14:textId="77777777" w:rsidTr="002F70C2">
        <w:trPr>
          <w:cantSplit/>
        </w:trPr>
        <w:tc>
          <w:tcPr>
            <w:tcW w:w="0" w:type="auto"/>
            <w:vAlign w:val="center"/>
          </w:tcPr>
          <w:p w14:paraId="7851D287" w14:textId="77777777" w:rsidR="002F70C2" w:rsidRPr="002F70C2" w:rsidRDefault="002F70C2" w:rsidP="002F70C2">
            <w:pPr>
              <w:spacing w:beforeAutospacing="1" w:afterAutospacing="1"/>
            </w:pPr>
            <w:r w:rsidRPr="002F70C2">
              <w:rPr>
                <w:color w:val="000000"/>
                <w:sz w:val="22"/>
              </w:rPr>
              <w:t>Provide Public Services</w:t>
            </w:r>
          </w:p>
        </w:tc>
        <w:tc>
          <w:tcPr>
            <w:tcW w:w="0" w:type="auto"/>
            <w:vAlign w:val="center"/>
          </w:tcPr>
          <w:p w14:paraId="76068EFC" w14:textId="77777777" w:rsidR="002F70C2" w:rsidRPr="00AD4B4F" w:rsidRDefault="002F70C2" w:rsidP="002F70C2">
            <w:pPr>
              <w:spacing w:beforeAutospacing="1" w:afterAutospacing="1"/>
            </w:pPr>
            <w:r w:rsidRPr="00AD4B4F">
              <w:rPr>
                <w:color w:val="000000"/>
                <w:sz w:val="22"/>
              </w:rPr>
              <w:t>Affordable Housing</w:t>
            </w:r>
            <w:r w:rsidRPr="00AD4B4F">
              <w:rPr>
                <w:color w:val="000000"/>
                <w:sz w:val="22"/>
              </w:rPr>
              <w:br/>
              <w:t>Non-Homeless Special Needs</w:t>
            </w:r>
          </w:p>
        </w:tc>
        <w:tc>
          <w:tcPr>
            <w:tcW w:w="0" w:type="auto"/>
            <w:vAlign w:val="center"/>
          </w:tcPr>
          <w:p w14:paraId="74A842D1" w14:textId="77777777" w:rsidR="002F70C2" w:rsidRPr="00AD4B4F" w:rsidRDefault="002F70C2" w:rsidP="002F70C2">
            <w:pPr>
              <w:spacing w:beforeAutospacing="1" w:afterAutospacing="1"/>
            </w:pPr>
            <w:r w:rsidRPr="00AD4B4F">
              <w:rPr>
                <w:color w:val="000000"/>
                <w:sz w:val="22"/>
              </w:rPr>
              <w:t>CDBG: $</w:t>
            </w:r>
          </w:p>
        </w:tc>
        <w:tc>
          <w:tcPr>
            <w:tcW w:w="0" w:type="auto"/>
            <w:vAlign w:val="center"/>
          </w:tcPr>
          <w:p w14:paraId="76185411" w14:textId="77777777" w:rsidR="002F70C2" w:rsidRPr="00AD4B4F" w:rsidRDefault="002F70C2" w:rsidP="002F70C2">
            <w:pPr>
              <w:spacing w:beforeAutospacing="1" w:afterAutospacing="1"/>
            </w:pPr>
            <w:r w:rsidRPr="00AD4B4F">
              <w:rPr>
                <w:color w:val="000000"/>
                <w:sz w:val="22"/>
              </w:rPr>
              <w:t>Public service activities for Low/Moderate Income Housing Benefit</w:t>
            </w:r>
          </w:p>
        </w:tc>
        <w:tc>
          <w:tcPr>
            <w:tcW w:w="0" w:type="auto"/>
            <w:vAlign w:val="center"/>
          </w:tcPr>
          <w:p w14:paraId="1E5E1207" w14:textId="77777777" w:rsidR="002F70C2" w:rsidRPr="00AD4B4F" w:rsidRDefault="002F70C2" w:rsidP="002F70C2">
            <w:pPr>
              <w:spacing w:beforeAutospacing="1" w:afterAutospacing="1"/>
            </w:pPr>
            <w:r w:rsidRPr="00AD4B4F">
              <w:rPr>
                <w:color w:val="000000"/>
                <w:sz w:val="22"/>
              </w:rPr>
              <w:t>Households Assisted</w:t>
            </w:r>
          </w:p>
        </w:tc>
        <w:tc>
          <w:tcPr>
            <w:tcW w:w="0" w:type="auto"/>
            <w:vAlign w:val="center"/>
          </w:tcPr>
          <w:p w14:paraId="19E66824" w14:textId="77777777" w:rsidR="002F70C2" w:rsidRPr="00AD4B4F" w:rsidRDefault="002F70C2" w:rsidP="002F70C2">
            <w:pPr>
              <w:spacing w:beforeAutospacing="1" w:afterAutospacing="1"/>
            </w:pPr>
            <w:r w:rsidRPr="00AD4B4F">
              <w:rPr>
                <w:color w:val="000000"/>
                <w:sz w:val="22"/>
              </w:rPr>
              <w:t>65</w:t>
            </w:r>
          </w:p>
        </w:tc>
        <w:tc>
          <w:tcPr>
            <w:tcW w:w="0" w:type="auto"/>
            <w:vAlign w:val="center"/>
          </w:tcPr>
          <w:p w14:paraId="3735FF80" w14:textId="6224F6EF" w:rsidR="002F70C2" w:rsidRPr="00AD4B4F" w:rsidRDefault="002F70C2" w:rsidP="002F70C2">
            <w:pPr>
              <w:spacing w:beforeAutospacing="1" w:afterAutospacing="1"/>
            </w:pPr>
            <w:r>
              <w:rPr>
                <w:color w:val="000000"/>
                <w:sz w:val="22"/>
              </w:rPr>
              <w:t>71</w:t>
            </w:r>
          </w:p>
        </w:tc>
        <w:tc>
          <w:tcPr>
            <w:tcW w:w="0" w:type="auto"/>
            <w:vAlign w:val="center"/>
          </w:tcPr>
          <w:p w14:paraId="2D97A3D9" w14:textId="035B3163" w:rsidR="002F70C2" w:rsidRPr="00AD4B4F" w:rsidRDefault="002F70C2" w:rsidP="002F70C2">
            <w:pPr>
              <w:spacing w:beforeAutospacing="1" w:afterAutospacing="1"/>
            </w:pPr>
            <w:r w:rsidRPr="00AD4B4F">
              <w:rPr>
                <w:color w:val="000000"/>
                <w:sz w:val="22"/>
              </w:rPr>
              <w:t>10</w:t>
            </w:r>
            <w:r>
              <w:rPr>
                <w:color w:val="000000"/>
                <w:sz w:val="22"/>
              </w:rPr>
              <w:t>9.23</w:t>
            </w:r>
            <w:r w:rsidRPr="00AD4B4F">
              <w:rPr>
                <w:color w:val="000000"/>
                <w:sz w:val="22"/>
              </w:rPr>
              <w:t>%</w:t>
            </w:r>
          </w:p>
        </w:tc>
        <w:tc>
          <w:tcPr>
            <w:tcW w:w="0" w:type="auto"/>
            <w:vAlign w:val="center"/>
          </w:tcPr>
          <w:p w14:paraId="2D758736" w14:textId="77777777" w:rsidR="002F70C2" w:rsidRPr="00AD4B4F" w:rsidRDefault="002F70C2" w:rsidP="002F70C2">
            <w:pPr>
              <w:spacing w:beforeAutospacing="1" w:afterAutospacing="1"/>
            </w:pPr>
            <w:r w:rsidRPr="00AD4B4F">
              <w:rPr>
                <w:color w:val="000000"/>
                <w:sz w:val="22"/>
              </w:rPr>
              <w:t>15</w:t>
            </w:r>
          </w:p>
        </w:tc>
        <w:tc>
          <w:tcPr>
            <w:tcW w:w="929" w:type="dxa"/>
            <w:vAlign w:val="center"/>
          </w:tcPr>
          <w:p w14:paraId="10D0F21F" w14:textId="403CEB21" w:rsidR="002F70C2" w:rsidRPr="00AD4B4F" w:rsidRDefault="002F70C2" w:rsidP="002F70C2">
            <w:pPr>
              <w:spacing w:beforeAutospacing="1" w:afterAutospacing="1"/>
            </w:pPr>
            <w:r>
              <w:rPr>
                <w:color w:val="000000"/>
                <w:sz w:val="22"/>
              </w:rPr>
              <w:t>2</w:t>
            </w:r>
          </w:p>
        </w:tc>
        <w:tc>
          <w:tcPr>
            <w:tcW w:w="1020" w:type="dxa"/>
            <w:vAlign w:val="center"/>
          </w:tcPr>
          <w:p w14:paraId="3AE53806" w14:textId="4B83F977" w:rsidR="002F70C2" w:rsidRPr="00AD4B4F" w:rsidRDefault="002F70C2" w:rsidP="002F70C2">
            <w:pPr>
              <w:spacing w:beforeAutospacing="1" w:afterAutospacing="1"/>
            </w:pPr>
            <w:r>
              <w:rPr>
                <w:color w:val="000000"/>
                <w:sz w:val="22"/>
              </w:rPr>
              <w:t>13.33%</w:t>
            </w:r>
          </w:p>
        </w:tc>
      </w:tr>
      <w:tr w:rsidR="002F70C2" w:rsidRPr="00AD4B4F" w14:paraId="1AF7433A" w14:textId="77777777" w:rsidTr="002F70C2">
        <w:trPr>
          <w:cantSplit/>
        </w:trPr>
        <w:tc>
          <w:tcPr>
            <w:tcW w:w="0" w:type="auto"/>
            <w:vAlign w:val="center"/>
          </w:tcPr>
          <w:p w14:paraId="38C955E7" w14:textId="77777777" w:rsidR="002F70C2" w:rsidRPr="002F70C2" w:rsidRDefault="002F70C2" w:rsidP="002F70C2">
            <w:pPr>
              <w:spacing w:beforeAutospacing="1" w:afterAutospacing="1"/>
            </w:pPr>
            <w:r w:rsidRPr="002F70C2">
              <w:rPr>
                <w:color w:val="000000"/>
                <w:sz w:val="22"/>
              </w:rPr>
              <w:t>Section 108 Loan Repayment</w:t>
            </w:r>
          </w:p>
        </w:tc>
        <w:tc>
          <w:tcPr>
            <w:tcW w:w="0" w:type="auto"/>
            <w:vAlign w:val="center"/>
          </w:tcPr>
          <w:p w14:paraId="1EF1644C" w14:textId="77777777" w:rsidR="002F70C2" w:rsidRPr="00AD4B4F" w:rsidRDefault="002F70C2" w:rsidP="002F70C2">
            <w:pPr>
              <w:spacing w:beforeAutospacing="1" w:afterAutospacing="1"/>
            </w:pPr>
            <w:r w:rsidRPr="00AD4B4F">
              <w:rPr>
                <w:color w:val="000000"/>
                <w:sz w:val="22"/>
              </w:rPr>
              <w:t>Non-Housing Community Development</w:t>
            </w:r>
          </w:p>
        </w:tc>
        <w:tc>
          <w:tcPr>
            <w:tcW w:w="0" w:type="auto"/>
            <w:vAlign w:val="center"/>
          </w:tcPr>
          <w:p w14:paraId="2DA1883C" w14:textId="77777777" w:rsidR="002F70C2" w:rsidRPr="00AD4B4F" w:rsidRDefault="002F70C2" w:rsidP="002F70C2">
            <w:pPr>
              <w:spacing w:beforeAutospacing="1" w:afterAutospacing="1"/>
            </w:pPr>
            <w:r w:rsidRPr="00AD4B4F">
              <w:rPr>
                <w:color w:val="000000"/>
                <w:sz w:val="22"/>
              </w:rPr>
              <w:t>CDBG: $</w:t>
            </w:r>
          </w:p>
        </w:tc>
        <w:tc>
          <w:tcPr>
            <w:tcW w:w="0" w:type="auto"/>
            <w:vAlign w:val="center"/>
          </w:tcPr>
          <w:p w14:paraId="28F42A5C"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3A09C69E" w14:textId="77777777" w:rsidR="002F70C2" w:rsidRPr="00AD4B4F" w:rsidRDefault="002F70C2" w:rsidP="002F70C2">
            <w:pPr>
              <w:spacing w:beforeAutospacing="1" w:afterAutospacing="1"/>
            </w:pPr>
            <w:r w:rsidRPr="00AD4B4F">
              <w:rPr>
                <w:color w:val="000000"/>
                <w:sz w:val="22"/>
              </w:rPr>
              <w:t>Other</w:t>
            </w:r>
          </w:p>
        </w:tc>
        <w:tc>
          <w:tcPr>
            <w:tcW w:w="0" w:type="auto"/>
            <w:vAlign w:val="center"/>
          </w:tcPr>
          <w:p w14:paraId="241561E8" w14:textId="77777777" w:rsidR="002F70C2" w:rsidRPr="00AD4B4F" w:rsidRDefault="002F70C2" w:rsidP="002F70C2">
            <w:pPr>
              <w:spacing w:beforeAutospacing="1" w:afterAutospacing="1"/>
            </w:pPr>
            <w:r w:rsidRPr="00AD4B4F">
              <w:rPr>
                <w:color w:val="000000"/>
                <w:sz w:val="22"/>
              </w:rPr>
              <w:t>5</w:t>
            </w:r>
          </w:p>
        </w:tc>
        <w:tc>
          <w:tcPr>
            <w:tcW w:w="0" w:type="auto"/>
            <w:vAlign w:val="center"/>
          </w:tcPr>
          <w:p w14:paraId="6359D832" w14:textId="6FB111B7" w:rsidR="002F70C2" w:rsidRPr="00AD4B4F" w:rsidRDefault="002F70C2" w:rsidP="002F70C2">
            <w:pPr>
              <w:spacing w:beforeAutospacing="1" w:afterAutospacing="1"/>
            </w:pPr>
            <w:r>
              <w:rPr>
                <w:color w:val="000000"/>
                <w:sz w:val="22"/>
              </w:rPr>
              <w:t>3</w:t>
            </w:r>
          </w:p>
        </w:tc>
        <w:tc>
          <w:tcPr>
            <w:tcW w:w="0" w:type="auto"/>
            <w:vAlign w:val="center"/>
          </w:tcPr>
          <w:p w14:paraId="08C7EAFB" w14:textId="665A7275" w:rsidR="002F70C2" w:rsidRPr="00AD4B4F" w:rsidRDefault="002F70C2" w:rsidP="002F70C2">
            <w:pPr>
              <w:spacing w:beforeAutospacing="1" w:afterAutospacing="1"/>
            </w:pPr>
            <w:r>
              <w:rPr>
                <w:color w:val="000000"/>
                <w:sz w:val="22"/>
              </w:rPr>
              <w:t>60</w:t>
            </w:r>
            <w:r w:rsidRPr="00AD4B4F">
              <w:rPr>
                <w:color w:val="000000"/>
                <w:sz w:val="22"/>
              </w:rPr>
              <w:t>.00%</w:t>
            </w:r>
          </w:p>
        </w:tc>
        <w:tc>
          <w:tcPr>
            <w:tcW w:w="0" w:type="auto"/>
            <w:vAlign w:val="center"/>
          </w:tcPr>
          <w:p w14:paraId="788E597A" w14:textId="77777777" w:rsidR="002F70C2" w:rsidRPr="00AD4B4F" w:rsidRDefault="002F70C2" w:rsidP="002F70C2">
            <w:pPr>
              <w:spacing w:beforeAutospacing="1" w:afterAutospacing="1"/>
            </w:pPr>
            <w:r w:rsidRPr="00AD4B4F">
              <w:rPr>
                <w:color w:val="000000"/>
                <w:sz w:val="22"/>
              </w:rPr>
              <w:t>1</w:t>
            </w:r>
          </w:p>
        </w:tc>
        <w:tc>
          <w:tcPr>
            <w:tcW w:w="929" w:type="dxa"/>
            <w:vAlign w:val="center"/>
          </w:tcPr>
          <w:p w14:paraId="080B834D" w14:textId="0F941AB8" w:rsidR="002F70C2" w:rsidRPr="00AD4B4F" w:rsidRDefault="002F70C2" w:rsidP="002F70C2">
            <w:pPr>
              <w:spacing w:beforeAutospacing="1" w:afterAutospacing="1"/>
            </w:pPr>
            <w:r>
              <w:rPr>
                <w:color w:val="000000"/>
                <w:sz w:val="22"/>
              </w:rPr>
              <w:t>1</w:t>
            </w:r>
          </w:p>
        </w:tc>
        <w:tc>
          <w:tcPr>
            <w:tcW w:w="1020" w:type="dxa"/>
            <w:vAlign w:val="center"/>
          </w:tcPr>
          <w:p w14:paraId="3CB8DCB1" w14:textId="546531FF" w:rsidR="002F70C2" w:rsidRPr="00AD4B4F" w:rsidRDefault="002F70C2" w:rsidP="002F70C2">
            <w:pPr>
              <w:spacing w:beforeAutospacing="1" w:afterAutospacing="1"/>
            </w:pPr>
            <w:r>
              <w:rPr>
                <w:color w:val="000000"/>
                <w:sz w:val="22"/>
              </w:rPr>
              <w:t>10</w:t>
            </w:r>
            <w:r w:rsidRPr="00AD4B4F">
              <w:rPr>
                <w:color w:val="000000"/>
                <w:sz w:val="22"/>
              </w:rPr>
              <w:t>0.00%</w:t>
            </w:r>
          </w:p>
        </w:tc>
      </w:tr>
    </w:tbl>
    <w:p w14:paraId="1ADAC224" w14:textId="4332C367"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w:t>
      </w:r>
      <w:r w:rsidRPr="00AD4B4F">
        <w:rPr>
          <w:rFonts w:asciiTheme="minorHAnsi" w:hAnsiTheme="minorHAnsi"/>
        </w:rPr>
        <w:fldChar w:fldCharType="end"/>
      </w:r>
      <w:r w:rsidRPr="00AD4B4F">
        <w:rPr>
          <w:rFonts w:asciiTheme="minorHAnsi" w:hAnsiTheme="minorHAnsi"/>
        </w:rPr>
        <w:t xml:space="preserve"> - Accomplishments – Program Year &amp; Strategic Plan to Date</w:t>
      </w:r>
    </w:p>
    <w:p w14:paraId="5556B026" w14:textId="77777777" w:rsidR="0023288C" w:rsidRPr="00AD4B4F" w:rsidRDefault="0023288C"/>
    <w:p w14:paraId="79B0902C" w14:textId="77777777" w:rsidR="0023288C" w:rsidRPr="00AD4B4F" w:rsidRDefault="0023288C">
      <w:pPr>
        <w:spacing w:after="0" w:line="240" w:lineRule="auto"/>
      </w:pPr>
    </w:p>
    <w:p w14:paraId="0597D72F" w14:textId="7F7B2E61" w:rsidR="0023288C" w:rsidRPr="00AD4B4F" w:rsidRDefault="00202916">
      <w:pPr>
        <w:keepNext/>
        <w:widowControl w:val="0"/>
        <w:rPr>
          <w:b/>
          <w:sz w:val="24"/>
          <w:szCs w:val="24"/>
        </w:rPr>
      </w:pPr>
      <w:r w:rsidRPr="00AD4B4F">
        <w:rPr>
          <w:b/>
          <w:sz w:val="24"/>
          <w:szCs w:val="24"/>
        </w:rPr>
        <w:t>Assess how the jurisdiction’s use of funds, particularly CDBG, addresses the priorities and specific objectives identified in the plan, giving special attention to the highest priority activities identified.</w:t>
      </w:r>
    </w:p>
    <w:p w14:paraId="33AF37CD" w14:textId="1403FA15" w:rsidR="007531E3" w:rsidRPr="00280783" w:rsidRDefault="003B0D14">
      <w:pPr>
        <w:keepNext/>
        <w:widowControl w:val="0"/>
        <w:rPr>
          <w:bCs/>
          <w:u w:val="single"/>
        </w:rPr>
      </w:pPr>
      <w:r w:rsidRPr="00280783">
        <w:rPr>
          <w:bCs/>
          <w:u w:val="single"/>
        </w:rPr>
        <w:t>Pu</w:t>
      </w:r>
      <w:r w:rsidR="001413E6" w:rsidRPr="00280783">
        <w:rPr>
          <w:bCs/>
          <w:u w:val="single"/>
        </w:rPr>
        <w:t>blic Services</w:t>
      </w:r>
    </w:p>
    <w:p w14:paraId="0CF583C6" w14:textId="6B2FF4FF" w:rsidR="003620E6" w:rsidRPr="00280783" w:rsidRDefault="003620E6" w:rsidP="003620E6">
      <w:pPr>
        <w:keepNext/>
        <w:widowControl w:val="0"/>
        <w:spacing w:line="204" w:lineRule="auto"/>
        <w:rPr>
          <w:bCs/>
        </w:rPr>
      </w:pPr>
      <w:r w:rsidRPr="00280783">
        <w:rPr>
          <w:bCs/>
        </w:rPr>
        <w:t xml:space="preserve">Several public services activities received assistance through the CDBG Program during program year 2022 to provide a variety of services to low-moderate income households. </w:t>
      </w:r>
      <w:r w:rsidR="00A91AB4" w:rsidRPr="00280783">
        <w:rPr>
          <w:bCs/>
        </w:rPr>
        <w:t xml:space="preserve">170 </w:t>
      </w:r>
      <w:r w:rsidRPr="00280783">
        <w:rPr>
          <w:bCs/>
        </w:rPr>
        <w:t xml:space="preserve">York City residents attended homebuyer workshops or counseling sessions provided by Tenfold (formerly LHOP). In addition, down payment assistance was provided to </w:t>
      </w:r>
      <w:r w:rsidR="00D146F6" w:rsidRPr="00280783">
        <w:rPr>
          <w:bCs/>
        </w:rPr>
        <w:t>two</w:t>
      </w:r>
      <w:r w:rsidRPr="00280783">
        <w:rPr>
          <w:bCs/>
        </w:rPr>
        <w:t xml:space="preserve"> eligible homebuyers.</w:t>
      </w:r>
    </w:p>
    <w:p w14:paraId="41CCF641" w14:textId="5060F412" w:rsidR="003620E6" w:rsidRPr="00280783" w:rsidRDefault="003620E6" w:rsidP="003620E6">
      <w:pPr>
        <w:keepNext/>
        <w:widowControl w:val="0"/>
        <w:spacing w:line="204" w:lineRule="auto"/>
        <w:rPr>
          <w:bCs/>
        </w:rPr>
      </w:pPr>
      <w:r w:rsidRPr="00280783">
        <w:rPr>
          <w:bCs/>
        </w:rPr>
        <w:t xml:space="preserve">In 2022, the City Human Relations Commission conducted </w:t>
      </w:r>
      <w:r w:rsidR="00A357AC" w:rsidRPr="00280783">
        <w:rPr>
          <w:bCs/>
        </w:rPr>
        <w:t>two</w:t>
      </w:r>
      <w:r w:rsidRPr="00280783">
        <w:rPr>
          <w:bCs/>
        </w:rPr>
        <w:t xml:space="preserve"> intakes that led to actual cases from York City residents. They also accepted </w:t>
      </w:r>
      <w:r w:rsidR="00BB3611" w:rsidRPr="00280783">
        <w:rPr>
          <w:bCs/>
        </w:rPr>
        <w:t>643</w:t>
      </w:r>
      <w:r w:rsidRPr="00280783">
        <w:rPr>
          <w:bCs/>
        </w:rPr>
        <w:t xml:space="preserve"> calls and walk-ins from both City and County residents and provided numerous outreach opportunities to social services organizations and businesses throughout York City. There were </w:t>
      </w:r>
      <w:r w:rsidR="00BB3611" w:rsidRPr="00280783">
        <w:rPr>
          <w:bCs/>
        </w:rPr>
        <w:t>12</w:t>
      </w:r>
      <w:r w:rsidRPr="00280783">
        <w:rPr>
          <w:bCs/>
        </w:rPr>
        <w:t xml:space="preserve"> City Housing related inquiries and </w:t>
      </w:r>
      <w:r w:rsidR="00BB3611" w:rsidRPr="00280783">
        <w:rPr>
          <w:bCs/>
        </w:rPr>
        <w:t>8</w:t>
      </w:r>
      <w:r w:rsidRPr="00280783">
        <w:rPr>
          <w:bCs/>
        </w:rPr>
        <w:t xml:space="preserve"> Public accommodation inquiries.</w:t>
      </w:r>
    </w:p>
    <w:p w14:paraId="6F1005B6" w14:textId="09488DE5" w:rsidR="003620E6" w:rsidRPr="00280783" w:rsidRDefault="003620E6" w:rsidP="003620E6">
      <w:pPr>
        <w:keepNext/>
        <w:widowControl w:val="0"/>
        <w:spacing w:line="204" w:lineRule="auto"/>
        <w:rPr>
          <w:bCs/>
        </w:rPr>
      </w:pPr>
      <w:r w:rsidRPr="00280783">
        <w:rPr>
          <w:bCs/>
        </w:rPr>
        <w:t xml:space="preserve">In 2022, the Literacy Council provided GED services to </w:t>
      </w:r>
      <w:r w:rsidR="00B96CD5" w:rsidRPr="00280783">
        <w:rPr>
          <w:bCs/>
        </w:rPr>
        <w:t>112</w:t>
      </w:r>
      <w:r w:rsidRPr="00280783">
        <w:rPr>
          <w:bCs/>
        </w:rPr>
        <w:t xml:space="preserve"> York City residents.</w:t>
      </w:r>
    </w:p>
    <w:p w14:paraId="66EE7249" w14:textId="77777777" w:rsidR="0030510F" w:rsidRPr="00280783" w:rsidRDefault="0030510F" w:rsidP="0030510F">
      <w:pPr>
        <w:keepNext/>
        <w:widowControl w:val="0"/>
        <w:spacing w:line="204" w:lineRule="auto"/>
        <w:rPr>
          <w:bCs/>
        </w:rPr>
      </w:pPr>
      <w:r w:rsidRPr="00280783">
        <w:rPr>
          <w:bCs/>
        </w:rPr>
        <w:t>In 2022, CASA provided community education, outreach, and training to 902 residents. Activities include employment/work readiness services, financial literacy services, tax preparation services, and enrollment/retention of high school students in the Mi Espacio Program.</w:t>
      </w:r>
    </w:p>
    <w:p w14:paraId="15732565" w14:textId="7FE384D7" w:rsidR="00280783" w:rsidRPr="00280783" w:rsidRDefault="00280783" w:rsidP="0030510F">
      <w:pPr>
        <w:keepNext/>
        <w:widowControl w:val="0"/>
        <w:spacing w:line="204" w:lineRule="auto"/>
        <w:rPr>
          <w:bCs/>
        </w:rPr>
        <w:sectPr w:rsidR="00280783" w:rsidRPr="00280783" w:rsidSect="00C22979">
          <w:footerReference w:type="default" r:id="rId9"/>
          <w:pgSz w:w="24480" w:h="15840" w:orient="landscape" w:code="3"/>
          <w:pgMar w:top="1440" w:right="1440" w:bottom="1440" w:left="1440" w:header="720" w:footer="720" w:gutter="0"/>
          <w:pgNumType w:start="0"/>
          <w:cols w:space="720"/>
          <w:titlePg/>
          <w:docGrid w:linePitch="360"/>
        </w:sectPr>
      </w:pPr>
      <w:r w:rsidRPr="00280783">
        <w:rPr>
          <w:bCs/>
        </w:rPr>
        <w:t>CDBG-CV funds were used to provide emergency rental assistance to individuals and families at risk of losing their housing due to COVID-19 impacts.</w:t>
      </w:r>
    </w:p>
    <w:p w14:paraId="47AA1187" w14:textId="77777777" w:rsidR="00CE0401" w:rsidRPr="00280783" w:rsidRDefault="00CE0401" w:rsidP="003620E6">
      <w:pPr>
        <w:keepNext/>
        <w:widowControl w:val="0"/>
        <w:spacing w:line="204" w:lineRule="auto"/>
        <w:rPr>
          <w:bCs/>
          <w:u w:val="single"/>
        </w:rPr>
      </w:pPr>
      <w:r w:rsidRPr="00280783">
        <w:rPr>
          <w:bCs/>
          <w:u w:val="single"/>
        </w:rPr>
        <w:lastRenderedPageBreak/>
        <w:t>Public Facilities and Infrastructure Improvements/Public Works</w:t>
      </w:r>
    </w:p>
    <w:p w14:paraId="3B626594" w14:textId="77777777" w:rsidR="00D146F6" w:rsidRPr="00280783" w:rsidRDefault="00D146F6" w:rsidP="00D7644D">
      <w:pPr>
        <w:keepNext/>
        <w:widowControl w:val="0"/>
        <w:spacing w:line="204" w:lineRule="auto"/>
        <w:rPr>
          <w:bCs/>
        </w:rPr>
      </w:pPr>
      <w:r w:rsidRPr="00280783">
        <w:rPr>
          <w:bCs/>
        </w:rPr>
        <w:t>Throughout 2022, three (3) public facility and one infrastructure improvement activity was assisted using Community Development Block Grant funds. They were the Farquar Park courts update, Hudson Park update and improvements to the tennis courts at Penn Park.  There was 1 median strip improvement to E. Philadelphia Street between State Street and Tremont Street. In total, these activities were obligated $350,974 plus carry over funds totaling $250,955 from the previous year.</w:t>
      </w:r>
    </w:p>
    <w:p w14:paraId="1393E704" w14:textId="6EA497DA" w:rsidR="00D7644D" w:rsidRPr="00280783" w:rsidRDefault="00D7644D" w:rsidP="00D7644D">
      <w:pPr>
        <w:keepNext/>
        <w:widowControl w:val="0"/>
        <w:spacing w:line="204" w:lineRule="auto"/>
        <w:rPr>
          <w:bCs/>
          <w:u w:val="single"/>
        </w:rPr>
      </w:pPr>
      <w:r w:rsidRPr="00280783">
        <w:rPr>
          <w:bCs/>
          <w:u w:val="single"/>
        </w:rPr>
        <w:t>Elimination of Slum&amp; Blight</w:t>
      </w:r>
    </w:p>
    <w:p w14:paraId="7816952C" w14:textId="566C2EEE" w:rsidR="007764C0" w:rsidRPr="00280783" w:rsidRDefault="007764C0" w:rsidP="007764C0">
      <w:pPr>
        <w:keepNext/>
        <w:widowControl w:val="0"/>
        <w:spacing w:line="204" w:lineRule="auto"/>
        <w:rPr>
          <w:bCs/>
        </w:rPr>
      </w:pPr>
      <w:r w:rsidRPr="00280783">
        <w:rPr>
          <w:bCs/>
        </w:rPr>
        <w:t xml:space="preserve">The prevention of slum and blight is a primary concern of the City of York. The current level of abandonment, slum and blighted conditions throughout the City require proactive intervention and redevelopment to allow positive change to occur. CDBG funds are used to stabilize and demolish blighted properties throughout the City. In 2022, </w:t>
      </w:r>
      <w:r w:rsidR="00744B4E" w:rsidRPr="00280783">
        <w:rPr>
          <w:bCs/>
        </w:rPr>
        <w:t>200</w:t>
      </w:r>
      <w:r w:rsidRPr="00280783">
        <w:rPr>
          <w:bCs/>
        </w:rPr>
        <w:t xml:space="preserve"> properties were impacted by stabilization efforts, </w:t>
      </w:r>
      <w:r w:rsidR="00D43DEB" w:rsidRPr="00280783">
        <w:rPr>
          <w:bCs/>
        </w:rPr>
        <w:t>3</w:t>
      </w:r>
      <w:r w:rsidRPr="00280783">
        <w:rPr>
          <w:bCs/>
        </w:rPr>
        <w:t xml:space="preserve"> properties were demolished and </w:t>
      </w:r>
      <w:r w:rsidR="006405CA" w:rsidRPr="00280783">
        <w:rPr>
          <w:bCs/>
        </w:rPr>
        <w:t>2</w:t>
      </w:r>
      <w:r w:rsidRPr="00280783">
        <w:rPr>
          <w:bCs/>
        </w:rPr>
        <w:t xml:space="preserve"> properties were acquired.</w:t>
      </w:r>
    </w:p>
    <w:p w14:paraId="0F81A9CA" w14:textId="77777777" w:rsidR="00D7644D" w:rsidRPr="00280783" w:rsidRDefault="007764C0" w:rsidP="003620E6">
      <w:pPr>
        <w:keepNext/>
        <w:widowControl w:val="0"/>
        <w:spacing w:line="204" w:lineRule="auto"/>
        <w:rPr>
          <w:bCs/>
        </w:rPr>
      </w:pPr>
      <w:r w:rsidRPr="00280783">
        <w:rPr>
          <w:bCs/>
        </w:rPr>
        <w:t>City CDBG funds were also utilized to fund the salaries of 2.5 Property Maintenance Inspectors. The funded Property Maintenance Inspectors enforce property codes in low-moderate neighborhoods in the City of York. These inspectors work diligently enforcing the city’s housing, zoning, building and related codes. Property Maintenance Inspectors are committed to maintaining the appearance and values of York City’s neighborhoods</w:t>
      </w:r>
      <w:r w:rsidR="006D251E" w:rsidRPr="00280783">
        <w:rPr>
          <w:bCs/>
        </w:rPr>
        <w:t>.</w:t>
      </w:r>
    </w:p>
    <w:p w14:paraId="7C5B68A5" w14:textId="27693108" w:rsidR="001E5AA4" w:rsidRPr="00280783" w:rsidRDefault="005E50C9" w:rsidP="001E5AA4">
      <w:pPr>
        <w:keepNext/>
        <w:widowControl w:val="0"/>
        <w:spacing w:line="204" w:lineRule="auto"/>
        <w:rPr>
          <w:bCs/>
          <w:u w:val="single"/>
        </w:rPr>
      </w:pPr>
      <w:r w:rsidRPr="00280783">
        <w:rPr>
          <w:bCs/>
          <w:u w:val="single"/>
        </w:rPr>
        <w:t>Economic Developmen</w:t>
      </w:r>
      <w:r w:rsidR="001E5AA4" w:rsidRPr="00280783">
        <w:rPr>
          <w:bCs/>
          <w:u w:val="single"/>
        </w:rPr>
        <w:t>t</w:t>
      </w:r>
      <w:r w:rsidRPr="00280783">
        <w:rPr>
          <w:bCs/>
          <w:u w:val="single"/>
        </w:rPr>
        <w:t>/Community First Fund</w:t>
      </w:r>
    </w:p>
    <w:p w14:paraId="1B99220B" w14:textId="77777777" w:rsidR="001E5AA4" w:rsidRPr="00280783" w:rsidRDefault="007B0E16" w:rsidP="003620E6">
      <w:pPr>
        <w:keepNext/>
        <w:widowControl w:val="0"/>
        <w:spacing w:line="204" w:lineRule="auto"/>
      </w:pPr>
      <w:r w:rsidRPr="00280783">
        <w:t>Programs that help boost the local economy are a high priority. The CDBG funded Community First Fund is a Micro Enterprise development activity that provides eligible City residents with individual business counseling, small business training programs, and access to loan capital for the purpose of starting or expanding small businesses in the City of York. In 2022, the Community First Fund received a total of $</w:t>
      </w:r>
      <w:r w:rsidR="00856ED5" w:rsidRPr="00280783">
        <w:t>7,639.24</w:t>
      </w:r>
      <w:r w:rsidRPr="00280783">
        <w:t xml:space="preserve"> in CDBG funds. As a result, services were provided to </w:t>
      </w:r>
      <w:r w:rsidR="00381669" w:rsidRPr="00280783">
        <w:t>200</w:t>
      </w:r>
      <w:r w:rsidRPr="00280783">
        <w:t xml:space="preserve"> individuals and businesses. </w:t>
      </w:r>
      <w:r w:rsidR="00381669" w:rsidRPr="00280783">
        <w:t>Services include</w:t>
      </w:r>
      <w:r w:rsidRPr="00280783">
        <w:t xml:space="preserve"> technical assistance</w:t>
      </w:r>
      <w:r w:rsidR="00374BA9" w:rsidRPr="00280783">
        <w:t>, loans for enterprises and new business start-ups, stabilization of existing distressed businesses and job creation/retention.</w:t>
      </w:r>
    </w:p>
    <w:p w14:paraId="4D703C1A" w14:textId="77777777" w:rsidR="0040271F" w:rsidRPr="00280783" w:rsidRDefault="0040271F" w:rsidP="0040271F">
      <w:pPr>
        <w:keepNext/>
        <w:widowControl w:val="0"/>
        <w:spacing w:line="204" w:lineRule="auto"/>
        <w:rPr>
          <w:bCs/>
        </w:rPr>
      </w:pPr>
      <w:r w:rsidRPr="00280783">
        <w:rPr>
          <w:bCs/>
        </w:rPr>
        <w:t xml:space="preserve">The City continued to provide assistance to small businesses impacted by the COVID 19 pandemic and provided 50 small businesses with $5,000 grants.  The City provided 21 grants for the 2nd  and 3rd round of the small business grants in 2022 which totaled $113,000 2nd and $40,000 so far on 3rd round.  A total of 65 families received rental assistance available as a result of the receipt of supplemental CARES Act funds.  </w:t>
      </w:r>
    </w:p>
    <w:p w14:paraId="6C0DFDA9" w14:textId="601B9489" w:rsidR="00DA3BA8" w:rsidRPr="00280783" w:rsidRDefault="00DA3BA8" w:rsidP="00DA3BA8">
      <w:pPr>
        <w:keepNext/>
        <w:widowControl w:val="0"/>
        <w:spacing w:line="204" w:lineRule="auto"/>
        <w:rPr>
          <w:bCs/>
          <w:u w:val="single"/>
        </w:rPr>
      </w:pPr>
      <w:r w:rsidRPr="00280783">
        <w:rPr>
          <w:bCs/>
          <w:u w:val="single"/>
        </w:rPr>
        <w:t>Owner Occupied Rehabilitation Program/York County Planning Commission</w:t>
      </w:r>
    </w:p>
    <w:p w14:paraId="60CE5275" w14:textId="20A6E3F0" w:rsidR="00DA3BA8" w:rsidRPr="00AD4B4F" w:rsidRDefault="00834774" w:rsidP="003620E6">
      <w:pPr>
        <w:keepNext/>
        <w:widowControl w:val="0"/>
        <w:spacing w:line="204" w:lineRule="auto"/>
        <w:rPr>
          <w:bCs/>
          <w:sz w:val="24"/>
          <w:szCs w:val="24"/>
        </w:rPr>
      </w:pPr>
      <w:r w:rsidRPr="00280783">
        <w:rPr>
          <w:bCs/>
        </w:rPr>
        <w:t xml:space="preserve">The Owner Occupied Rehabilitation Program is designed to preserve and improve the existing housing stock in the City of York by providing the financial and technical assistance to address substandard major systems such as, but not limited to, roofing, heating, electrical, plumbing, structural components, repairs to eliminate health and safety deficiencies, repairs identified by code violations, and repairs that will assist York City residents to qualify for the York County Weatherization Assistance program (moisture, mold issues, kitchen and bath ventilations, or other items that would need to be addressed to qualify a home for weatherization). In 2022 </w:t>
      </w:r>
      <w:r w:rsidRPr="00AD4B4F">
        <w:rPr>
          <w:bCs/>
          <w:sz w:val="24"/>
          <w:szCs w:val="24"/>
        </w:rPr>
        <w:t xml:space="preserve">there were a number of inquiries but only </w:t>
      </w:r>
      <w:r w:rsidR="00000296" w:rsidRPr="00AD4B4F">
        <w:rPr>
          <w:bCs/>
          <w:sz w:val="24"/>
          <w:szCs w:val="24"/>
        </w:rPr>
        <w:t>15</w:t>
      </w:r>
      <w:r w:rsidRPr="00AD4B4F">
        <w:rPr>
          <w:bCs/>
          <w:sz w:val="24"/>
          <w:szCs w:val="24"/>
        </w:rPr>
        <w:t xml:space="preserve"> rehabs were completed. </w:t>
      </w:r>
    </w:p>
    <w:p w14:paraId="3D2AA671" w14:textId="77777777" w:rsidR="00280783" w:rsidRDefault="00280783">
      <w:pPr>
        <w:spacing w:after="0" w:line="240" w:lineRule="auto"/>
        <w:rPr>
          <w:rFonts w:asciiTheme="minorHAnsi" w:hAnsiTheme="minorHAnsi" w:cs="Arial"/>
          <w:b/>
          <w:bCs/>
          <w:iCs/>
          <w:sz w:val="28"/>
          <w:szCs w:val="28"/>
        </w:rPr>
      </w:pPr>
      <w:bookmarkStart w:id="1" w:name="_Toc127268194"/>
      <w:bookmarkStart w:id="2" w:name="_Toc309810474"/>
      <w:r>
        <w:rPr>
          <w:rFonts w:asciiTheme="minorHAnsi" w:hAnsiTheme="minorHAnsi"/>
          <w:i/>
        </w:rPr>
        <w:br w:type="page"/>
      </w:r>
    </w:p>
    <w:p w14:paraId="526F2682" w14:textId="2DF8CF04" w:rsidR="0023288C" w:rsidRPr="00AD4B4F" w:rsidRDefault="00202916">
      <w:pPr>
        <w:pStyle w:val="Heading2"/>
        <w:rPr>
          <w:rFonts w:asciiTheme="minorHAnsi" w:hAnsiTheme="minorHAnsi"/>
          <w:i w:val="0"/>
        </w:rPr>
      </w:pPr>
      <w:r w:rsidRPr="00AD4B4F">
        <w:rPr>
          <w:rFonts w:asciiTheme="minorHAnsi" w:hAnsiTheme="minorHAnsi"/>
          <w:i w:val="0"/>
        </w:rPr>
        <w:lastRenderedPageBreak/>
        <w:t>CR-10 - Racial and Ethnic composition of families assisted</w:t>
      </w:r>
      <w:bookmarkEnd w:id="1"/>
    </w:p>
    <w:p w14:paraId="0D253520" w14:textId="77777777" w:rsidR="0023288C" w:rsidRPr="00AD4B4F" w:rsidRDefault="00202916">
      <w:pPr>
        <w:keepNext/>
        <w:widowControl w:val="0"/>
        <w:rPr>
          <w:b/>
          <w:sz w:val="24"/>
          <w:szCs w:val="24"/>
        </w:rPr>
      </w:pPr>
      <w:r w:rsidRPr="00AD4B4F">
        <w:rPr>
          <w:b/>
          <w:sz w:val="24"/>
          <w:szCs w:val="24"/>
        </w:rPr>
        <w:t xml:space="preserve">Describe the families assisted (including the racial and ethnic status of families assisted). 91.520(a) </w:t>
      </w:r>
    </w:p>
    <w:p w14:paraId="6773D5AE" w14:textId="77777777" w:rsidR="0023288C" w:rsidRPr="00AD4B4F" w:rsidRDefault="0023288C">
      <w:pPr>
        <w:widowControl w:val="0"/>
        <w:spacing w:after="0" w:line="240" w:lineRule="auto"/>
        <w:rPr>
          <w:b/>
          <w:vanish/>
          <w:sz w:val="24"/>
          <w:szCs w:val="24"/>
        </w:rPr>
      </w:pPr>
    </w:p>
    <w:p w14:paraId="61D951DF" w14:textId="77777777" w:rsidR="0023288C" w:rsidRPr="00AD4B4F" w:rsidRDefault="0023288C">
      <w:pPr>
        <w:pStyle w:val="NoSpacing"/>
        <w:rPr>
          <w:vanish/>
        </w:rPr>
      </w:pPr>
    </w:p>
    <w:p w14:paraId="6926B3CC" w14:textId="77777777" w:rsidR="0023288C" w:rsidRPr="00AD4B4F" w:rsidRDefault="0023288C">
      <w:pPr>
        <w:pStyle w:val="NoSpacing"/>
        <w:rPr>
          <w:vanish/>
        </w:rPr>
      </w:pPr>
    </w:p>
    <w:p w14:paraId="0CCC8682" w14:textId="77777777" w:rsidR="0023288C" w:rsidRPr="00AD4B4F" w:rsidRDefault="0023288C">
      <w:pPr>
        <w:pStyle w:val="NoSpacing"/>
        <w:rPr>
          <w:vanish/>
        </w:rPr>
      </w:pPr>
    </w:p>
    <w:p w14:paraId="1D50E433" w14:textId="77777777" w:rsidR="0023288C" w:rsidRPr="00AD4B4F" w:rsidRDefault="0023288C">
      <w:pPr>
        <w:pStyle w:val="NoSpacing"/>
        <w:rPr>
          <w:vanish/>
        </w:rPr>
      </w:pPr>
    </w:p>
    <w:p w14:paraId="434F2A21" w14:textId="77777777" w:rsidR="0023288C" w:rsidRPr="00AD4B4F" w:rsidRDefault="0023288C">
      <w:pPr>
        <w:pStyle w:val="NoSpacing"/>
        <w:rPr>
          <w:vanish/>
        </w:rPr>
      </w:pPr>
    </w:p>
    <w:p w14:paraId="4F101745" w14:textId="77777777" w:rsidR="0023288C" w:rsidRPr="00AD4B4F" w:rsidRDefault="0023288C">
      <w:pPr>
        <w:pStyle w:val="NoSpacing"/>
        <w:rPr>
          <w:vanish/>
        </w:rPr>
      </w:pPr>
    </w:p>
    <w:p w14:paraId="37597F65" w14:textId="77777777" w:rsidR="0023288C" w:rsidRPr="00AD4B4F" w:rsidRDefault="0023288C">
      <w:pPr>
        <w:pStyle w:val="NoSpacing"/>
        <w:rPr>
          <w:vanish/>
        </w:rPr>
      </w:pPr>
    </w:p>
    <w:p w14:paraId="7F790A8C" w14:textId="77777777" w:rsidR="0023288C" w:rsidRPr="00AD4B4F" w:rsidRDefault="0023288C">
      <w:pPr>
        <w:pStyle w:val="NoSpacing"/>
        <w:rPr>
          <w:vanish/>
        </w:rPr>
      </w:pPr>
    </w:p>
    <w:p w14:paraId="61969A4A" w14:textId="77777777" w:rsidR="0023288C" w:rsidRPr="00AD4B4F" w:rsidRDefault="0023288C">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3288C" w:rsidRPr="00AD4B4F" w14:paraId="20D57884" w14:textId="77777777">
        <w:trPr>
          <w:cantSplit/>
        </w:trPr>
        <w:tc>
          <w:tcPr>
            <w:tcW w:w="3009" w:type="pct"/>
          </w:tcPr>
          <w:p w14:paraId="69A9E56B" w14:textId="77777777" w:rsidR="0023288C" w:rsidRPr="00AD4B4F" w:rsidRDefault="0023288C">
            <w:pPr>
              <w:spacing w:after="0"/>
              <w:rPr>
                <w:b/>
              </w:rPr>
            </w:pPr>
          </w:p>
        </w:tc>
        <w:tc>
          <w:tcPr>
            <w:tcW w:w="992" w:type="pct"/>
          </w:tcPr>
          <w:p w14:paraId="35D32039" w14:textId="77777777" w:rsidR="0023288C" w:rsidRPr="00AD4B4F" w:rsidRDefault="00202916">
            <w:pPr>
              <w:spacing w:after="0"/>
              <w:jc w:val="center"/>
              <w:rPr>
                <w:b/>
              </w:rPr>
            </w:pPr>
            <w:r w:rsidRPr="00AD4B4F">
              <w:rPr>
                <w:b/>
              </w:rPr>
              <w:t>CDBG</w:t>
            </w:r>
          </w:p>
        </w:tc>
        <w:tc>
          <w:tcPr>
            <w:tcW w:w="992" w:type="pct"/>
          </w:tcPr>
          <w:p w14:paraId="7F880930" w14:textId="77777777" w:rsidR="0023288C" w:rsidRPr="00AD4B4F" w:rsidRDefault="00202916">
            <w:pPr>
              <w:spacing w:after="0"/>
              <w:jc w:val="center"/>
              <w:rPr>
                <w:b/>
              </w:rPr>
            </w:pPr>
            <w:r w:rsidRPr="00AD4B4F">
              <w:rPr>
                <w:b/>
              </w:rPr>
              <w:t>HOME</w:t>
            </w:r>
          </w:p>
        </w:tc>
      </w:tr>
      <w:tr w:rsidR="0023288C" w:rsidRPr="00AD4B4F" w14:paraId="7D8B2ECF" w14:textId="77777777">
        <w:trPr>
          <w:cantSplit/>
        </w:trPr>
        <w:tc>
          <w:tcPr>
            <w:tcW w:w="4821" w:type="dxa"/>
            <w:vAlign w:val="bottom"/>
          </w:tcPr>
          <w:p w14:paraId="387D2005" w14:textId="77777777" w:rsidR="0023288C" w:rsidRPr="00AD4B4F" w:rsidRDefault="00202916">
            <w:pPr>
              <w:spacing w:beforeAutospacing="1" w:afterAutospacing="1"/>
            </w:pPr>
            <w:r w:rsidRPr="00AD4B4F">
              <w:rPr>
                <w:color w:val="000000"/>
              </w:rPr>
              <w:t>White</w:t>
            </w:r>
          </w:p>
        </w:tc>
        <w:tc>
          <w:tcPr>
            <w:tcW w:w="1589" w:type="dxa"/>
            <w:vAlign w:val="bottom"/>
          </w:tcPr>
          <w:p w14:paraId="33421EE8" w14:textId="77777777" w:rsidR="0023288C" w:rsidRPr="00AD4B4F" w:rsidRDefault="00202916">
            <w:pPr>
              <w:spacing w:beforeAutospacing="1" w:afterAutospacing="1"/>
              <w:jc w:val="right"/>
            </w:pPr>
            <w:r w:rsidRPr="00AD4B4F">
              <w:rPr>
                <w:color w:val="000000"/>
              </w:rPr>
              <w:t>81</w:t>
            </w:r>
          </w:p>
        </w:tc>
        <w:tc>
          <w:tcPr>
            <w:tcW w:w="1589" w:type="dxa"/>
            <w:vAlign w:val="bottom"/>
          </w:tcPr>
          <w:p w14:paraId="0AA881E0" w14:textId="77777777" w:rsidR="0023288C" w:rsidRPr="00AD4B4F" w:rsidRDefault="00202916">
            <w:pPr>
              <w:spacing w:beforeAutospacing="1" w:afterAutospacing="1"/>
              <w:jc w:val="right"/>
            </w:pPr>
            <w:r w:rsidRPr="00AD4B4F">
              <w:rPr>
                <w:color w:val="000000"/>
              </w:rPr>
              <w:t>13</w:t>
            </w:r>
          </w:p>
        </w:tc>
      </w:tr>
      <w:tr w:rsidR="0023288C" w:rsidRPr="00AD4B4F" w14:paraId="1AC19C67" w14:textId="77777777">
        <w:trPr>
          <w:cantSplit/>
        </w:trPr>
        <w:tc>
          <w:tcPr>
            <w:tcW w:w="4821" w:type="dxa"/>
            <w:vAlign w:val="bottom"/>
          </w:tcPr>
          <w:p w14:paraId="5F8FC37E" w14:textId="77777777" w:rsidR="0023288C" w:rsidRPr="00AD4B4F" w:rsidRDefault="00202916">
            <w:pPr>
              <w:spacing w:beforeAutospacing="1" w:afterAutospacing="1"/>
            </w:pPr>
            <w:r w:rsidRPr="00AD4B4F">
              <w:rPr>
                <w:color w:val="000000"/>
              </w:rPr>
              <w:t>Black or African American</w:t>
            </w:r>
          </w:p>
        </w:tc>
        <w:tc>
          <w:tcPr>
            <w:tcW w:w="1589" w:type="dxa"/>
            <w:vAlign w:val="bottom"/>
          </w:tcPr>
          <w:p w14:paraId="294BA233" w14:textId="77777777" w:rsidR="0023288C" w:rsidRPr="00AD4B4F" w:rsidRDefault="00202916">
            <w:pPr>
              <w:spacing w:beforeAutospacing="1" w:afterAutospacing="1"/>
              <w:jc w:val="right"/>
            </w:pPr>
            <w:r w:rsidRPr="00AD4B4F">
              <w:rPr>
                <w:color w:val="000000"/>
              </w:rPr>
              <w:t>145</w:t>
            </w:r>
          </w:p>
        </w:tc>
        <w:tc>
          <w:tcPr>
            <w:tcW w:w="1589" w:type="dxa"/>
            <w:vAlign w:val="bottom"/>
          </w:tcPr>
          <w:p w14:paraId="559A47CE" w14:textId="77777777" w:rsidR="0023288C" w:rsidRPr="00AD4B4F" w:rsidRDefault="00202916">
            <w:pPr>
              <w:spacing w:beforeAutospacing="1" w:afterAutospacing="1"/>
              <w:jc w:val="right"/>
            </w:pPr>
            <w:r w:rsidRPr="00AD4B4F">
              <w:rPr>
                <w:color w:val="000000"/>
              </w:rPr>
              <w:t>10</w:t>
            </w:r>
          </w:p>
        </w:tc>
      </w:tr>
      <w:tr w:rsidR="0023288C" w:rsidRPr="00AD4B4F" w14:paraId="63C109DA" w14:textId="77777777">
        <w:trPr>
          <w:cantSplit/>
        </w:trPr>
        <w:tc>
          <w:tcPr>
            <w:tcW w:w="4821" w:type="dxa"/>
            <w:vAlign w:val="bottom"/>
          </w:tcPr>
          <w:p w14:paraId="1099EAD8" w14:textId="77777777" w:rsidR="0023288C" w:rsidRPr="00AD4B4F" w:rsidRDefault="00202916">
            <w:pPr>
              <w:spacing w:beforeAutospacing="1" w:afterAutospacing="1"/>
            </w:pPr>
            <w:r w:rsidRPr="00AD4B4F">
              <w:rPr>
                <w:color w:val="000000"/>
              </w:rPr>
              <w:t>Asian</w:t>
            </w:r>
          </w:p>
        </w:tc>
        <w:tc>
          <w:tcPr>
            <w:tcW w:w="1589" w:type="dxa"/>
            <w:vAlign w:val="bottom"/>
          </w:tcPr>
          <w:p w14:paraId="7BD3289F" w14:textId="77777777" w:rsidR="0023288C" w:rsidRPr="00AD4B4F" w:rsidRDefault="00202916">
            <w:pPr>
              <w:spacing w:beforeAutospacing="1" w:afterAutospacing="1"/>
              <w:jc w:val="right"/>
            </w:pPr>
            <w:r w:rsidRPr="00AD4B4F">
              <w:rPr>
                <w:color w:val="000000"/>
              </w:rPr>
              <w:t>6</w:t>
            </w:r>
          </w:p>
        </w:tc>
        <w:tc>
          <w:tcPr>
            <w:tcW w:w="1589" w:type="dxa"/>
            <w:vAlign w:val="bottom"/>
          </w:tcPr>
          <w:p w14:paraId="6ECA58E4" w14:textId="77777777" w:rsidR="0023288C" w:rsidRPr="00AD4B4F" w:rsidRDefault="00202916">
            <w:pPr>
              <w:spacing w:beforeAutospacing="1" w:afterAutospacing="1"/>
              <w:jc w:val="right"/>
            </w:pPr>
            <w:r w:rsidRPr="00AD4B4F">
              <w:rPr>
                <w:color w:val="000000"/>
              </w:rPr>
              <w:t>0</w:t>
            </w:r>
          </w:p>
        </w:tc>
      </w:tr>
      <w:tr w:rsidR="0023288C" w:rsidRPr="00AD4B4F" w14:paraId="3B518431" w14:textId="77777777">
        <w:trPr>
          <w:cantSplit/>
        </w:trPr>
        <w:tc>
          <w:tcPr>
            <w:tcW w:w="4821" w:type="dxa"/>
            <w:vAlign w:val="bottom"/>
          </w:tcPr>
          <w:p w14:paraId="7FA3E71A" w14:textId="77777777" w:rsidR="0023288C" w:rsidRPr="00AD4B4F" w:rsidRDefault="00202916">
            <w:pPr>
              <w:spacing w:beforeAutospacing="1" w:afterAutospacing="1"/>
            </w:pPr>
            <w:r w:rsidRPr="00AD4B4F">
              <w:rPr>
                <w:color w:val="000000"/>
              </w:rPr>
              <w:t>American Indian or American Native</w:t>
            </w:r>
          </w:p>
        </w:tc>
        <w:tc>
          <w:tcPr>
            <w:tcW w:w="1589" w:type="dxa"/>
            <w:vAlign w:val="bottom"/>
          </w:tcPr>
          <w:p w14:paraId="4DE5DAC3" w14:textId="77777777" w:rsidR="0023288C" w:rsidRPr="00AD4B4F" w:rsidRDefault="00202916">
            <w:pPr>
              <w:spacing w:beforeAutospacing="1" w:afterAutospacing="1"/>
              <w:jc w:val="right"/>
            </w:pPr>
            <w:r w:rsidRPr="00AD4B4F">
              <w:rPr>
                <w:color w:val="000000"/>
              </w:rPr>
              <w:t>0</w:t>
            </w:r>
          </w:p>
        </w:tc>
        <w:tc>
          <w:tcPr>
            <w:tcW w:w="1589" w:type="dxa"/>
            <w:vAlign w:val="bottom"/>
          </w:tcPr>
          <w:p w14:paraId="060650AC" w14:textId="77777777" w:rsidR="0023288C" w:rsidRPr="00AD4B4F" w:rsidRDefault="00202916">
            <w:pPr>
              <w:spacing w:beforeAutospacing="1" w:afterAutospacing="1"/>
              <w:jc w:val="right"/>
            </w:pPr>
            <w:r w:rsidRPr="00AD4B4F">
              <w:rPr>
                <w:color w:val="000000"/>
              </w:rPr>
              <w:t>0</w:t>
            </w:r>
          </w:p>
        </w:tc>
      </w:tr>
      <w:tr w:rsidR="0023288C" w:rsidRPr="00AD4B4F" w14:paraId="27C7231F" w14:textId="77777777">
        <w:trPr>
          <w:cantSplit/>
        </w:trPr>
        <w:tc>
          <w:tcPr>
            <w:tcW w:w="4821" w:type="dxa"/>
            <w:vAlign w:val="bottom"/>
          </w:tcPr>
          <w:p w14:paraId="41491DFF" w14:textId="77777777" w:rsidR="0023288C" w:rsidRPr="00AD4B4F" w:rsidRDefault="00202916">
            <w:pPr>
              <w:spacing w:beforeAutospacing="1" w:afterAutospacing="1"/>
            </w:pPr>
            <w:r w:rsidRPr="00AD4B4F">
              <w:rPr>
                <w:color w:val="000000"/>
              </w:rPr>
              <w:t>Native Hawaiian or Other Pacific Islander</w:t>
            </w:r>
          </w:p>
        </w:tc>
        <w:tc>
          <w:tcPr>
            <w:tcW w:w="1589" w:type="dxa"/>
            <w:vAlign w:val="bottom"/>
          </w:tcPr>
          <w:p w14:paraId="2D10A371" w14:textId="77777777" w:rsidR="0023288C" w:rsidRPr="00AD4B4F" w:rsidRDefault="00202916">
            <w:pPr>
              <w:spacing w:beforeAutospacing="1" w:afterAutospacing="1"/>
              <w:jc w:val="right"/>
            </w:pPr>
            <w:r w:rsidRPr="00AD4B4F">
              <w:rPr>
                <w:color w:val="000000"/>
              </w:rPr>
              <w:t>0</w:t>
            </w:r>
          </w:p>
        </w:tc>
        <w:tc>
          <w:tcPr>
            <w:tcW w:w="1589" w:type="dxa"/>
            <w:vAlign w:val="bottom"/>
          </w:tcPr>
          <w:p w14:paraId="725AFDCA" w14:textId="77777777" w:rsidR="0023288C" w:rsidRPr="00AD4B4F" w:rsidRDefault="00202916">
            <w:pPr>
              <w:spacing w:beforeAutospacing="1" w:afterAutospacing="1"/>
              <w:jc w:val="right"/>
            </w:pPr>
            <w:r w:rsidRPr="00AD4B4F">
              <w:rPr>
                <w:color w:val="000000"/>
              </w:rPr>
              <w:t>0</w:t>
            </w:r>
          </w:p>
        </w:tc>
      </w:tr>
    </w:tbl>
    <w:p w14:paraId="1D9B361A" w14:textId="77777777" w:rsidR="0023288C" w:rsidRPr="00AD4B4F" w:rsidRDefault="0023288C">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3288C" w:rsidRPr="00AD4B4F" w14:paraId="7F0FEFEC" w14:textId="77777777">
        <w:trPr>
          <w:cantSplit/>
          <w:hidden/>
        </w:trPr>
        <w:tc>
          <w:tcPr>
            <w:tcW w:w="3009" w:type="pct"/>
          </w:tcPr>
          <w:p w14:paraId="6677551D" w14:textId="77777777" w:rsidR="0023288C" w:rsidRPr="00AD4B4F" w:rsidRDefault="0023288C">
            <w:pPr>
              <w:keepNext/>
              <w:widowControl w:val="0"/>
              <w:spacing w:after="0" w:line="240" w:lineRule="auto"/>
              <w:rPr>
                <w:vanish/>
              </w:rPr>
            </w:pPr>
          </w:p>
        </w:tc>
        <w:tc>
          <w:tcPr>
            <w:tcW w:w="992" w:type="pct"/>
          </w:tcPr>
          <w:p w14:paraId="0B09394B" w14:textId="77777777" w:rsidR="0023288C" w:rsidRPr="00AD4B4F" w:rsidRDefault="0023288C">
            <w:pPr>
              <w:keepNext/>
              <w:widowControl w:val="0"/>
              <w:spacing w:after="0" w:line="240" w:lineRule="auto"/>
              <w:jc w:val="center"/>
              <w:rPr>
                <w:b/>
                <w:vanish/>
              </w:rPr>
            </w:pPr>
          </w:p>
        </w:tc>
        <w:tc>
          <w:tcPr>
            <w:tcW w:w="992" w:type="pct"/>
          </w:tcPr>
          <w:p w14:paraId="7BE79A1B" w14:textId="77777777" w:rsidR="0023288C" w:rsidRPr="00AD4B4F" w:rsidRDefault="0023288C">
            <w:pPr>
              <w:keepNext/>
              <w:widowControl w:val="0"/>
              <w:spacing w:after="0" w:line="240" w:lineRule="auto"/>
              <w:jc w:val="center"/>
              <w:rPr>
                <w:b/>
                <w:vanish/>
              </w:rPr>
            </w:pPr>
          </w:p>
        </w:tc>
      </w:tr>
      <w:tr w:rsidR="0023288C" w:rsidRPr="00AD4B4F" w14:paraId="68EA7504" w14:textId="77777777">
        <w:trPr>
          <w:cantSplit/>
        </w:trPr>
        <w:tc>
          <w:tcPr>
            <w:tcW w:w="4821" w:type="dxa"/>
            <w:vAlign w:val="bottom"/>
          </w:tcPr>
          <w:p w14:paraId="21742327" w14:textId="77777777" w:rsidR="0023288C" w:rsidRPr="00AD4B4F" w:rsidRDefault="00202916">
            <w:pPr>
              <w:spacing w:beforeAutospacing="1" w:afterAutospacing="1"/>
            </w:pPr>
            <w:r w:rsidRPr="00AD4B4F">
              <w:rPr>
                <w:b/>
                <w:color w:val="000000"/>
              </w:rPr>
              <w:t>Total</w:t>
            </w:r>
          </w:p>
        </w:tc>
        <w:tc>
          <w:tcPr>
            <w:tcW w:w="1589" w:type="dxa"/>
            <w:vAlign w:val="bottom"/>
          </w:tcPr>
          <w:p w14:paraId="7F7550BA" w14:textId="77777777" w:rsidR="0023288C" w:rsidRPr="00AD4B4F" w:rsidRDefault="00202916">
            <w:pPr>
              <w:spacing w:beforeAutospacing="1" w:afterAutospacing="1"/>
              <w:jc w:val="right"/>
            </w:pPr>
            <w:r w:rsidRPr="00AD4B4F">
              <w:rPr>
                <w:b/>
                <w:color w:val="000000"/>
              </w:rPr>
              <w:t>232</w:t>
            </w:r>
          </w:p>
        </w:tc>
        <w:tc>
          <w:tcPr>
            <w:tcW w:w="1589" w:type="dxa"/>
            <w:vAlign w:val="bottom"/>
          </w:tcPr>
          <w:p w14:paraId="52A6ED4D" w14:textId="77777777" w:rsidR="0023288C" w:rsidRPr="00AD4B4F" w:rsidRDefault="00202916">
            <w:pPr>
              <w:spacing w:beforeAutospacing="1" w:afterAutospacing="1"/>
              <w:jc w:val="right"/>
            </w:pPr>
            <w:r w:rsidRPr="00AD4B4F">
              <w:rPr>
                <w:b/>
                <w:color w:val="000000"/>
              </w:rPr>
              <w:t>23</w:t>
            </w:r>
          </w:p>
        </w:tc>
      </w:tr>
    </w:tbl>
    <w:p w14:paraId="059816B0" w14:textId="77777777" w:rsidR="0023288C" w:rsidRPr="00AD4B4F" w:rsidRDefault="0023288C">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23288C" w:rsidRPr="00AD4B4F" w14:paraId="6DEF134B" w14:textId="77777777">
        <w:trPr>
          <w:cantSplit/>
          <w:hidden/>
        </w:trPr>
        <w:tc>
          <w:tcPr>
            <w:tcW w:w="3009" w:type="pct"/>
          </w:tcPr>
          <w:p w14:paraId="36AB178F" w14:textId="77777777" w:rsidR="0023288C" w:rsidRPr="00AD4B4F" w:rsidRDefault="0023288C">
            <w:pPr>
              <w:keepNext/>
              <w:widowControl w:val="0"/>
              <w:spacing w:after="0" w:line="240" w:lineRule="auto"/>
              <w:rPr>
                <w:vanish/>
              </w:rPr>
            </w:pPr>
          </w:p>
        </w:tc>
        <w:tc>
          <w:tcPr>
            <w:tcW w:w="992" w:type="pct"/>
          </w:tcPr>
          <w:p w14:paraId="5CB39693" w14:textId="77777777" w:rsidR="0023288C" w:rsidRPr="00AD4B4F" w:rsidRDefault="0023288C">
            <w:pPr>
              <w:keepNext/>
              <w:widowControl w:val="0"/>
              <w:spacing w:after="0" w:line="240" w:lineRule="auto"/>
              <w:jc w:val="center"/>
              <w:rPr>
                <w:b/>
                <w:vanish/>
              </w:rPr>
            </w:pPr>
          </w:p>
        </w:tc>
        <w:tc>
          <w:tcPr>
            <w:tcW w:w="992" w:type="pct"/>
          </w:tcPr>
          <w:p w14:paraId="70A46622" w14:textId="77777777" w:rsidR="0023288C" w:rsidRPr="00AD4B4F" w:rsidRDefault="0023288C">
            <w:pPr>
              <w:keepNext/>
              <w:widowControl w:val="0"/>
              <w:spacing w:after="0" w:line="240" w:lineRule="auto"/>
              <w:jc w:val="center"/>
              <w:rPr>
                <w:b/>
                <w:vanish/>
              </w:rPr>
            </w:pPr>
          </w:p>
        </w:tc>
      </w:tr>
      <w:tr w:rsidR="0023288C" w:rsidRPr="00AD4B4F" w14:paraId="4F3CBF17" w14:textId="77777777">
        <w:trPr>
          <w:cantSplit/>
        </w:trPr>
        <w:tc>
          <w:tcPr>
            <w:tcW w:w="4821" w:type="dxa"/>
            <w:vAlign w:val="bottom"/>
          </w:tcPr>
          <w:p w14:paraId="07C428A6" w14:textId="77777777" w:rsidR="0023288C" w:rsidRPr="00AD4B4F" w:rsidRDefault="00202916">
            <w:pPr>
              <w:spacing w:beforeAutospacing="1" w:afterAutospacing="1"/>
            </w:pPr>
            <w:r w:rsidRPr="00AD4B4F">
              <w:rPr>
                <w:color w:val="000000"/>
              </w:rPr>
              <w:t>Hispanic</w:t>
            </w:r>
          </w:p>
        </w:tc>
        <w:tc>
          <w:tcPr>
            <w:tcW w:w="1589" w:type="dxa"/>
            <w:vAlign w:val="bottom"/>
          </w:tcPr>
          <w:p w14:paraId="0B581A49" w14:textId="77777777" w:rsidR="0023288C" w:rsidRPr="00AD4B4F" w:rsidRDefault="00202916">
            <w:pPr>
              <w:spacing w:beforeAutospacing="1" w:afterAutospacing="1"/>
              <w:jc w:val="right"/>
            </w:pPr>
            <w:r w:rsidRPr="00AD4B4F">
              <w:rPr>
                <w:color w:val="000000"/>
              </w:rPr>
              <w:t>0</w:t>
            </w:r>
          </w:p>
        </w:tc>
        <w:tc>
          <w:tcPr>
            <w:tcW w:w="1589" w:type="dxa"/>
            <w:vAlign w:val="bottom"/>
          </w:tcPr>
          <w:p w14:paraId="4DF51BEA" w14:textId="77777777" w:rsidR="0023288C" w:rsidRPr="00AD4B4F" w:rsidRDefault="00202916">
            <w:pPr>
              <w:spacing w:beforeAutospacing="1" w:afterAutospacing="1"/>
              <w:jc w:val="right"/>
            </w:pPr>
            <w:r w:rsidRPr="00AD4B4F">
              <w:rPr>
                <w:color w:val="000000"/>
              </w:rPr>
              <w:t>12</w:t>
            </w:r>
          </w:p>
        </w:tc>
      </w:tr>
      <w:tr w:rsidR="0023288C" w:rsidRPr="00AD4B4F" w14:paraId="0F493BD7" w14:textId="77777777">
        <w:trPr>
          <w:cantSplit/>
        </w:trPr>
        <w:tc>
          <w:tcPr>
            <w:tcW w:w="4821" w:type="dxa"/>
            <w:vAlign w:val="bottom"/>
          </w:tcPr>
          <w:p w14:paraId="687BC273" w14:textId="77777777" w:rsidR="0023288C" w:rsidRPr="00AD4B4F" w:rsidRDefault="00202916">
            <w:pPr>
              <w:spacing w:beforeAutospacing="1" w:afterAutospacing="1"/>
            </w:pPr>
            <w:r w:rsidRPr="00AD4B4F">
              <w:rPr>
                <w:color w:val="000000"/>
              </w:rPr>
              <w:t>Not Hispanic</w:t>
            </w:r>
          </w:p>
        </w:tc>
        <w:tc>
          <w:tcPr>
            <w:tcW w:w="1589" w:type="dxa"/>
            <w:vAlign w:val="bottom"/>
          </w:tcPr>
          <w:p w14:paraId="6EDFA199" w14:textId="77777777" w:rsidR="0023288C" w:rsidRPr="00AD4B4F" w:rsidRDefault="00202916">
            <w:pPr>
              <w:spacing w:beforeAutospacing="1" w:afterAutospacing="1"/>
              <w:jc w:val="right"/>
            </w:pPr>
            <w:r w:rsidRPr="00AD4B4F">
              <w:rPr>
                <w:color w:val="000000"/>
              </w:rPr>
              <w:t>232</w:t>
            </w:r>
          </w:p>
        </w:tc>
        <w:tc>
          <w:tcPr>
            <w:tcW w:w="1589" w:type="dxa"/>
            <w:vAlign w:val="bottom"/>
          </w:tcPr>
          <w:p w14:paraId="14475309" w14:textId="77777777" w:rsidR="0023288C" w:rsidRPr="00AD4B4F" w:rsidRDefault="00202916">
            <w:pPr>
              <w:spacing w:beforeAutospacing="1" w:afterAutospacing="1"/>
              <w:jc w:val="right"/>
            </w:pPr>
            <w:r w:rsidRPr="00AD4B4F">
              <w:rPr>
                <w:color w:val="000000"/>
              </w:rPr>
              <w:t>11</w:t>
            </w:r>
          </w:p>
        </w:tc>
      </w:tr>
    </w:tbl>
    <w:p w14:paraId="07896A18" w14:textId="77777777" w:rsidR="0023288C" w:rsidRPr="00AD4B4F" w:rsidRDefault="0023288C">
      <w:pPr>
        <w:pStyle w:val="NoSpacing"/>
        <w:rPr>
          <w:vanish/>
        </w:rPr>
      </w:pPr>
    </w:p>
    <w:p w14:paraId="3DB7DD08" w14:textId="77777777" w:rsidR="0023288C" w:rsidRPr="00AD4B4F" w:rsidRDefault="0023288C">
      <w:pPr>
        <w:pStyle w:val="NoSpacing"/>
        <w:rPr>
          <w:vanish/>
        </w:rPr>
      </w:pPr>
    </w:p>
    <w:p w14:paraId="51A74C3B" w14:textId="77777777" w:rsidR="0023288C" w:rsidRPr="00AD4B4F" w:rsidRDefault="0023288C">
      <w:pPr>
        <w:pStyle w:val="NoSpacing"/>
        <w:rPr>
          <w:vanish/>
        </w:rPr>
      </w:pPr>
    </w:p>
    <w:p w14:paraId="1A24427C" w14:textId="77777777" w:rsidR="0023288C" w:rsidRPr="00AD4B4F" w:rsidRDefault="0023288C">
      <w:pPr>
        <w:pStyle w:val="NoSpacing"/>
        <w:rPr>
          <w:vanish/>
        </w:rPr>
      </w:pPr>
    </w:p>
    <w:p w14:paraId="7C175AB9" w14:textId="77777777" w:rsidR="0023288C" w:rsidRPr="00AD4B4F" w:rsidRDefault="0023288C">
      <w:pPr>
        <w:pStyle w:val="NoSpacing"/>
        <w:rPr>
          <w:vanish/>
        </w:rPr>
      </w:pPr>
    </w:p>
    <w:p w14:paraId="27005695" w14:textId="77777777" w:rsidR="0023288C" w:rsidRPr="00AD4B4F" w:rsidRDefault="0023288C">
      <w:pPr>
        <w:pStyle w:val="NoSpacing"/>
      </w:pPr>
    </w:p>
    <w:p w14:paraId="530650D8" w14:textId="77777777" w:rsidR="0023288C" w:rsidRPr="00AD4B4F" w:rsidRDefault="0023288C">
      <w:pPr>
        <w:pStyle w:val="NoSpacing"/>
        <w:rPr>
          <w:vanish/>
        </w:rPr>
      </w:pPr>
    </w:p>
    <w:p w14:paraId="34584995" w14:textId="77777777" w:rsidR="0023288C" w:rsidRPr="00AD4B4F" w:rsidRDefault="0023288C">
      <w:pPr>
        <w:pStyle w:val="NoSpacing"/>
        <w:rPr>
          <w:vanish/>
        </w:rPr>
      </w:pPr>
    </w:p>
    <w:p w14:paraId="3A0BAE2C" w14:textId="77777777" w:rsidR="0023288C" w:rsidRPr="00AD4B4F" w:rsidRDefault="0023288C">
      <w:pPr>
        <w:pStyle w:val="NoSpacing"/>
        <w:rPr>
          <w:vanish/>
        </w:rPr>
      </w:pPr>
    </w:p>
    <w:p w14:paraId="6D25AE0A" w14:textId="77777777" w:rsidR="0023288C" w:rsidRPr="00AD4B4F" w:rsidRDefault="0023288C">
      <w:pPr>
        <w:pStyle w:val="NoSpacing"/>
        <w:rPr>
          <w:vanish/>
        </w:rPr>
      </w:pPr>
    </w:p>
    <w:p w14:paraId="5992B097" w14:textId="77777777" w:rsidR="0023288C" w:rsidRPr="00AD4B4F" w:rsidRDefault="0023288C">
      <w:pPr>
        <w:pStyle w:val="NoSpacing"/>
        <w:rPr>
          <w:vanish/>
        </w:rPr>
      </w:pPr>
    </w:p>
    <w:p w14:paraId="6B8D6D8A" w14:textId="77777777" w:rsidR="0023288C" w:rsidRPr="00AD4B4F" w:rsidRDefault="0023288C">
      <w:pPr>
        <w:pStyle w:val="NoSpacing"/>
        <w:rPr>
          <w:vanish/>
        </w:rPr>
      </w:pPr>
    </w:p>
    <w:p w14:paraId="2BB03B6C" w14:textId="77777777" w:rsidR="0023288C" w:rsidRPr="00AD4B4F" w:rsidRDefault="0023288C">
      <w:pPr>
        <w:pStyle w:val="NoSpacing"/>
        <w:rPr>
          <w:vanish/>
        </w:rPr>
      </w:pPr>
    </w:p>
    <w:p w14:paraId="22E4747B" w14:textId="77777777" w:rsidR="0023288C" w:rsidRPr="00AD4B4F" w:rsidRDefault="0023288C">
      <w:pPr>
        <w:pStyle w:val="NoSpacing"/>
        <w:rPr>
          <w:vanish/>
        </w:rPr>
      </w:pPr>
    </w:p>
    <w:p w14:paraId="315548C8" w14:textId="77777777" w:rsidR="0023288C" w:rsidRPr="00AD4B4F" w:rsidRDefault="0023288C">
      <w:pPr>
        <w:pStyle w:val="NoSpacing"/>
        <w:rPr>
          <w:vanish/>
        </w:rPr>
      </w:pPr>
    </w:p>
    <w:p w14:paraId="2FD6000B" w14:textId="77777777" w:rsidR="0023288C" w:rsidRPr="00AD4B4F" w:rsidRDefault="0023288C">
      <w:pPr>
        <w:pStyle w:val="NoSpacing"/>
        <w:rPr>
          <w:vanish/>
        </w:rPr>
      </w:pPr>
    </w:p>
    <w:p w14:paraId="3FCC623D" w14:textId="77777777" w:rsidR="0023288C" w:rsidRPr="00AD4B4F" w:rsidRDefault="0023288C">
      <w:pPr>
        <w:keepNext/>
        <w:widowControl w:val="0"/>
        <w:spacing w:after="0" w:line="240" w:lineRule="auto"/>
        <w:rPr>
          <w:b/>
          <w:vanish/>
          <w:sz w:val="24"/>
          <w:szCs w:val="24"/>
        </w:rPr>
      </w:pPr>
    </w:p>
    <w:p w14:paraId="1EE19980" w14:textId="77777777" w:rsidR="0023288C" w:rsidRPr="00AD4B4F" w:rsidRDefault="0023288C">
      <w:pPr>
        <w:pStyle w:val="NoSpacing"/>
        <w:rPr>
          <w:vanish/>
        </w:rPr>
      </w:pPr>
    </w:p>
    <w:p w14:paraId="4FCA8716" w14:textId="77777777" w:rsidR="0023288C" w:rsidRPr="00AD4B4F" w:rsidRDefault="0023288C">
      <w:pPr>
        <w:pStyle w:val="NoSpacing"/>
        <w:rPr>
          <w:vanish/>
        </w:rPr>
      </w:pPr>
    </w:p>
    <w:p w14:paraId="27AD2AB0" w14:textId="77777777" w:rsidR="0023288C" w:rsidRPr="00AD4B4F" w:rsidRDefault="0023288C">
      <w:pPr>
        <w:pStyle w:val="NoSpacing"/>
        <w:rPr>
          <w:vanish/>
        </w:rPr>
      </w:pPr>
    </w:p>
    <w:p w14:paraId="394B77A8" w14:textId="77777777" w:rsidR="0023288C" w:rsidRPr="00AD4B4F" w:rsidRDefault="0023288C">
      <w:pPr>
        <w:pStyle w:val="NoSpacing"/>
        <w:rPr>
          <w:vanish/>
        </w:rPr>
      </w:pPr>
    </w:p>
    <w:p w14:paraId="1F3A3A14" w14:textId="77777777" w:rsidR="0023288C" w:rsidRPr="00AD4B4F" w:rsidRDefault="0023288C">
      <w:pPr>
        <w:pStyle w:val="NoSpacing"/>
        <w:rPr>
          <w:vanish/>
        </w:rPr>
      </w:pPr>
    </w:p>
    <w:p w14:paraId="17D2E723" w14:textId="77777777" w:rsidR="0023288C" w:rsidRPr="00AD4B4F" w:rsidRDefault="0023288C">
      <w:pPr>
        <w:pStyle w:val="NoSpacing"/>
        <w:rPr>
          <w:vanish/>
        </w:rPr>
      </w:pPr>
    </w:p>
    <w:p w14:paraId="10F9E357" w14:textId="77777777" w:rsidR="0023288C" w:rsidRPr="00AD4B4F" w:rsidRDefault="0023288C">
      <w:pPr>
        <w:pStyle w:val="NoSpacing"/>
        <w:rPr>
          <w:vanish/>
        </w:rPr>
      </w:pPr>
    </w:p>
    <w:p w14:paraId="5D9327DE" w14:textId="77777777" w:rsidR="0023288C" w:rsidRPr="00AD4B4F" w:rsidRDefault="0023288C">
      <w:pPr>
        <w:pStyle w:val="NoSpacing"/>
        <w:rPr>
          <w:vanish/>
        </w:rPr>
      </w:pPr>
    </w:p>
    <w:p w14:paraId="716D5061" w14:textId="77777777" w:rsidR="0023288C" w:rsidRPr="00AD4B4F" w:rsidRDefault="0023288C">
      <w:pPr>
        <w:pStyle w:val="NoSpacing"/>
        <w:rPr>
          <w:vanish/>
        </w:rPr>
      </w:pPr>
    </w:p>
    <w:p w14:paraId="09B18630" w14:textId="77777777" w:rsidR="0023288C" w:rsidRPr="00AD4B4F" w:rsidRDefault="0023288C">
      <w:pPr>
        <w:pStyle w:val="NoSpacing"/>
        <w:rPr>
          <w:vanish/>
        </w:rPr>
      </w:pPr>
    </w:p>
    <w:p w14:paraId="7A75971B" w14:textId="77777777" w:rsidR="0023288C" w:rsidRPr="00AD4B4F" w:rsidRDefault="0023288C">
      <w:pPr>
        <w:pStyle w:val="NoSpacing"/>
        <w:rPr>
          <w:vanish/>
        </w:rPr>
      </w:pPr>
    </w:p>
    <w:p w14:paraId="0C32E571" w14:textId="77777777" w:rsidR="0023288C" w:rsidRPr="00AD4B4F" w:rsidRDefault="0023288C">
      <w:pPr>
        <w:pStyle w:val="NoSpacing"/>
        <w:rPr>
          <w:vanish/>
        </w:rPr>
      </w:pPr>
    </w:p>
    <w:p w14:paraId="1798D2A1" w14:textId="77777777" w:rsidR="0023288C" w:rsidRPr="00AD4B4F" w:rsidRDefault="0023288C">
      <w:pPr>
        <w:pStyle w:val="NoSpacing"/>
        <w:rPr>
          <w:vanish/>
        </w:rPr>
      </w:pPr>
    </w:p>
    <w:p w14:paraId="5CD53544" w14:textId="77777777" w:rsidR="0023288C" w:rsidRPr="00AD4B4F" w:rsidRDefault="0023288C">
      <w:pPr>
        <w:pStyle w:val="NoSpacing"/>
        <w:rPr>
          <w:vanish/>
        </w:rPr>
      </w:pPr>
    </w:p>
    <w:p w14:paraId="7A69562E" w14:textId="77777777" w:rsidR="0023288C" w:rsidRPr="00AD4B4F" w:rsidRDefault="0023288C">
      <w:pPr>
        <w:pStyle w:val="NoSpacing"/>
        <w:rPr>
          <w:vanish/>
        </w:rPr>
      </w:pPr>
    </w:p>
    <w:p w14:paraId="361C12CE" w14:textId="77777777" w:rsidR="0023288C" w:rsidRPr="00AD4B4F" w:rsidRDefault="0023288C">
      <w:pPr>
        <w:pStyle w:val="NoSpacing"/>
        <w:rPr>
          <w:vanish/>
        </w:rPr>
      </w:pPr>
    </w:p>
    <w:p w14:paraId="6E0A387B" w14:textId="77777777" w:rsidR="0023288C" w:rsidRPr="00AD4B4F" w:rsidRDefault="0023288C">
      <w:pPr>
        <w:pStyle w:val="NoSpacing"/>
        <w:rPr>
          <w:vanish/>
        </w:rPr>
      </w:pPr>
    </w:p>
    <w:p w14:paraId="1925CA1C" w14:textId="77777777" w:rsidR="0023288C" w:rsidRPr="00AD4B4F" w:rsidRDefault="0023288C">
      <w:pPr>
        <w:pStyle w:val="NoSpacing"/>
        <w:rPr>
          <w:vanish/>
        </w:rPr>
      </w:pPr>
    </w:p>
    <w:p w14:paraId="59C75EB9" w14:textId="77777777" w:rsidR="0023288C" w:rsidRPr="00AD4B4F" w:rsidRDefault="0023288C">
      <w:pPr>
        <w:pStyle w:val="NoSpacing"/>
        <w:rPr>
          <w:vanish/>
        </w:rPr>
      </w:pPr>
    </w:p>
    <w:p w14:paraId="52C2C288" w14:textId="2D4E2D2D" w:rsidR="0023288C" w:rsidRPr="00AD4B4F" w:rsidRDefault="00202916" w:rsidP="004F76A7">
      <w:pPr>
        <w:keepNext/>
        <w:widowControl w:val="0"/>
        <w:ind w:firstLine="720"/>
        <w:rPr>
          <w:b/>
          <w:color w:val="000000" w:themeColor="text1"/>
          <w:sz w:val="20"/>
          <w:szCs w:val="20"/>
        </w:rPr>
      </w:pPr>
      <w:r w:rsidRPr="00AD4B4F">
        <w:rPr>
          <w:rFonts w:asciiTheme="minorHAnsi" w:hAnsiTheme="minorHAnsi"/>
          <w:b/>
          <w:sz w:val="20"/>
          <w:szCs w:val="20"/>
        </w:rPr>
        <w:t xml:space="preserve">Table </w:t>
      </w:r>
      <w:r w:rsidRPr="00AD4B4F">
        <w:rPr>
          <w:rFonts w:asciiTheme="minorHAnsi" w:hAnsiTheme="minorHAnsi"/>
          <w:b/>
          <w:sz w:val="20"/>
          <w:szCs w:val="20"/>
        </w:rPr>
        <w:fldChar w:fldCharType="begin"/>
      </w:r>
      <w:r w:rsidRPr="00AD4B4F">
        <w:rPr>
          <w:rFonts w:asciiTheme="minorHAnsi" w:hAnsiTheme="minorHAnsi"/>
          <w:b/>
          <w:sz w:val="20"/>
          <w:szCs w:val="20"/>
        </w:rPr>
        <w:instrText xml:space="preserve"> SEQ Table \* ARABIC </w:instrText>
      </w:r>
      <w:r w:rsidRPr="00AD4B4F">
        <w:rPr>
          <w:rFonts w:asciiTheme="minorHAnsi" w:hAnsiTheme="minorHAnsi"/>
          <w:b/>
          <w:sz w:val="20"/>
          <w:szCs w:val="20"/>
        </w:rPr>
        <w:fldChar w:fldCharType="separate"/>
      </w:r>
      <w:r w:rsidR="00292BBA" w:rsidRPr="00AD4B4F">
        <w:rPr>
          <w:rFonts w:asciiTheme="minorHAnsi" w:hAnsiTheme="minorHAnsi"/>
          <w:b/>
          <w:noProof/>
          <w:sz w:val="20"/>
          <w:szCs w:val="20"/>
        </w:rPr>
        <w:t>2</w:t>
      </w:r>
      <w:r w:rsidRPr="00AD4B4F">
        <w:rPr>
          <w:rFonts w:asciiTheme="minorHAnsi" w:hAnsiTheme="minorHAnsi"/>
          <w:b/>
          <w:sz w:val="20"/>
          <w:szCs w:val="20"/>
        </w:rPr>
        <w:fldChar w:fldCharType="end"/>
      </w:r>
      <w:r w:rsidRPr="00AD4B4F">
        <w:rPr>
          <w:rFonts w:asciiTheme="minorHAnsi" w:hAnsiTheme="minorHAnsi"/>
          <w:b/>
          <w:sz w:val="20"/>
          <w:szCs w:val="20"/>
        </w:rPr>
        <w:t xml:space="preserve"> – Table of assistance to racial and ethnic populations by source of funds</w:t>
      </w:r>
      <w:r w:rsidRPr="00AD4B4F">
        <w:rPr>
          <w:b/>
          <w:color w:val="000000" w:themeColor="text1"/>
          <w:sz w:val="20"/>
          <w:szCs w:val="20"/>
        </w:rPr>
        <w:t xml:space="preserve"> </w:t>
      </w:r>
    </w:p>
    <w:p w14:paraId="14ADD04C" w14:textId="77777777" w:rsidR="0023288C" w:rsidRPr="00AD4B4F" w:rsidRDefault="00202916">
      <w:pPr>
        <w:widowControl w:val="0"/>
        <w:rPr>
          <w:b/>
          <w:sz w:val="24"/>
          <w:szCs w:val="24"/>
        </w:rPr>
      </w:pPr>
      <w:r w:rsidRPr="00AD4B4F">
        <w:rPr>
          <w:b/>
          <w:sz w:val="24"/>
          <w:szCs w:val="24"/>
        </w:rPr>
        <w:t>Narrative</w:t>
      </w:r>
    </w:p>
    <w:p w14:paraId="4753B0DE" w14:textId="48DE013E" w:rsidR="00F061B3" w:rsidRPr="00AD4B4F" w:rsidRDefault="00F061B3">
      <w:pPr>
        <w:sectPr w:rsidR="00F061B3" w:rsidRPr="00AD4B4F">
          <w:footerReference w:type="default" r:id="rId10"/>
          <w:pgSz w:w="12240" w:h="15840" w:code="1"/>
          <w:pgMar w:top="1440" w:right="1440" w:bottom="1440" w:left="1440" w:header="720" w:footer="720" w:gutter="0"/>
          <w:cols w:space="720"/>
          <w:docGrid w:linePitch="360"/>
        </w:sectPr>
      </w:pPr>
      <w:r w:rsidRPr="00AD4B4F">
        <w:t>In addition to the beneficiaries listed above, the City provided funds for multiple public infrastructure projects that served the City as a whole. According to 2021 ACS five-year estimates, 31.1% of the population identified as Black or African American; 63.8% as White; and 32.7% as Hispanic.</w:t>
      </w:r>
    </w:p>
    <w:p w14:paraId="70B5172D" w14:textId="77777777" w:rsidR="0023288C" w:rsidRPr="00AD4B4F" w:rsidRDefault="00202916">
      <w:pPr>
        <w:pStyle w:val="Heading2"/>
        <w:rPr>
          <w:rFonts w:ascii="Calibri" w:hAnsi="Calibri"/>
          <w:i w:val="0"/>
        </w:rPr>
      </w:pPr>
      <w:bookmarkStart w:id="3" w:name="_Toc127268195"/>
      <w:bookmarkEnd w:id="2"/>
      <w:r w:rsidRPr="00AD4B4F">
        <w:rPr>
          <w:rFonts w:ascii="Calibri" w:hAnsi="Calibri"/>
          <w:i w:val="0"/>
        </w:rPr>
        <w:lastRenderedPageBreak/>
        <w:t>CR-15 - Resources and Investments 91.520(a)</w:t>
      </w:r>
      <w:bookmarkEnd w:id="3"/>
    </w:p>
    <w:p w14:paraId="6E471414" w14:textId="77777777" w:rsidR="0023288C" w:rsidRPr="00AD4B4F" w:rsidRDefault="00202916">
      <w:pPr>
        <w:keepNext/>
        <w:widowControl w:val="0"/>
        <w:spacing w:after="0" w:line="240" w:lineRule="auto"/>
        <w:rPr>
          <w:b/>
          <w:sz w:val="24"/>
          <w:szCs w:val="24"/>
        </w:rPr>
      </w:pPr>
      <w:r w:rsidRPr="00AD4B4F">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9"/>
        <w:gridCol w:w="2341"/>
        <w:gridCol w:w="2351"/>
      </w:tblGrid>
      <w:tr w:rsidR="0023288C" w:rsidRPr="00AD4B4F" w14:paraId="422D1350" w14:textId="77777777">
        <w:trPr>
          <w:cantSplit/>
        </w:trPr>
        <w:tc>
          <w:tcPr>
            <w:tcW w:w="2394" w:type="dxa"/>
          </w:tcPr>
          <w:p w14:paraId="37DA317C" w14:textId="77777777" w:rsidR="0023288C" w:rsidRPr="00AD4B4F" w:rsidRDefault="00202916">
            <w:pPr>
              <w:keepNext/>
              <w:widowControl w:val="0"/>
              <w:spacing w:after="0" w:line="240" w:lineRule="auto"/>
              <w:jc w:val="center"/>
              <w:rPr>
                <w:rFonts w:cs="Arial"/>
                <w:b/>
              </w:rPr>
            </w:pPr>
            <w:r w:rsidRPr="00AD4B4F">
              <w:rPr>
                <w:rFonts w:cs="Arial"/>
                <w:b/>
              </w:rPr>
              <w:t>Source of Funds</w:t>
            </w:r>
          </w:p>
        </w:tc>
        <w:tc>
          <w:tcPr>
            <w:tcW w:w="2394" w:type="dxa"/>
          </w:tcPr>
          <w:p w14:paraId="48A94361" w14:textId="77777777" w:rsidR="0023288C" w:rsidRPr="00AD4B4F" w:rsidRDefault="00202916">
            <w:pPr>
              <w:keepNext/>
              <w:widowControl w:val="0"/>
              <w:spacing w:after="0" w:line="240" w:lineRule="auto"/>
              <w:jc w:val="center"/>
              <w:rPr>
                <w:rFonts w:cs="Arial"/>
                <w:b/>
              </w:rPr>
            </w:pPr>
            <w:r w:rsidRPr="00AD4B4F">
              <w:rPr>
                <w:rFonts w:cs="Arial"/>
                <w:b/>
              </w:rPr>
              <w:t>Source</w:t>
            </w:r>
          </w:p>
        </w:tc>
        <w:tc>
          <w:tcPr>
            <w:tcW w:w="2394" w:type="dxa"/>
          </w:tcPr>
          <w:p w14:paraId="208AB835" w14:textId="77777777" w:rsidR="0023288C" w:rsidRPr="00AD4B4F" w:rsidRDefault="00202916">
            <w:pPr>
              <w:keepNext/>
              <w:spacing w:after="0" w:line="240" w:lineRule="auto"/>
              <w:jc w:val="center"/>
              <w:rPr>
                <w:rFonts w:cs="Arial"/>
                <w:b/>
              </w:rPr>
            </w:pPr>
            <w:r w:rsidRPr="00AD4B4F">
              <w:rPr>
                <w:rFonts w:cs="Arial"/>
                <w:b/>
              </w:rPr>
              <w:t>Resources Made Available</w:t>
            </w:r>
          </w:p>
        </w:tc>
        <w:tc>
          <w:tcPr>
            <w:tcW w:w="2394" w:type="dxa"/>
          </w:tcPr>
          <w:p w14:paraId="04C9862D" w14:textId="77777777" w:rsidR="0023288C" w:rsidRPr="00AD4B4F" w:rsidRDefault="00202916">
            <w:pPr>
              <w:keepNext/>
              <w:widowControl w:val="0"/>
              <w:spacing w:after="0" w:line="240" w:lineRule="auto"/>
              <w:jc w:val="center"/>
              <w:rPr>
                <w:rFonts w:cs="Arial"/>
                <w:b/>
              </w:rPr>
            </w:pPr>
            <w:r w:rsidRPr="00AD4B4F">
              <w:rPr>
                <w:rFonts w:cs="Arial"/>
                <w:b/>
              </w:rPr>
              <w:t>Amount Expended During Program Year</w:t>
            </w:r>
          </w:p>
        </w:tc>
      </w:tr>
      <w:tr w:rsidR="0023288C" w:rsidRPr="00AD4B4F" w14:paraId="3E35B9F8" w14:textId="77777777">
        <w:trPr>
          <w:cantSplit/>
        </w:trPr>
        <w:tc>
          <w:tcPr>
            <w:tcW w:w="0" w:type="auto"/>
            <w:vAlign w:val="bottom"/>
          </w:tcPr>
          <w:p w14:paraId="564AA8EC" w14:textId="77777777" w:rsidR="0023288C" w:rsidRPr="00AD4B4F" w:rsidRDefault="00202916">
            <w:pPr>
              <w:spacing w:beforeAutospacing="1" w:afterAutospacing="1"/>
            </w:pPr>
            <w:r w:rsidRPr="00AD4B4F">
              <w:rPr>
                <w:color w:val="000000"/>
              </w:rPr>
              <w:t>CDBG</w:t>
            </w:r>
          </w:p>
        </w:tc>
        <w:tc>
          <w:tcPr>
            <w:tcW w:w="0" w:type="auto"/>
            <w:vAlign w:val="bottom"/>
          </w:tcPr>
          <w:p w14:paraId="093F3CCE" w14:textId="77777777" w:rsidR="0023288C" w:rsidRPr="00AD4B4F" w:rsidRDefault="00202916">
            <w:pPr>
              <w:spacing w:beforeAutospacing="1" w:afterAutospacing="1"/>
            </w:pPr>
            <w:r w:rsidRPr="00AD4B4F">
              <w:rPr>
                <w:color w:val="000000"/>
              </w:rPr>
              <w:t>public - federal</w:t>
            </w:r>
          </w:p>
        </w:tc>
        <w:tc>
          <w:tcPr>
            <w:tcW w:w="0" w:type="auto"/>
            <w:vAlign w:val="bottom"/>
          </w:tcPr>
          <w:p w14:paraId="5A0C60DC" w14:textId="77777777" w:rsidR="0023288C" w:rsidRPr="00AD4B4F" w:rsidRDefault="00202916">
            <w:pPr>
              <w:spacing w:beforeAutospacing="1" w:afterAutospacing="1"/>
              <w:jc w:val="right"/>
            </w:pPr>
            <w:r w:rsidRPr="00AD4B4F">
              <w:rPr>
                <w:color w:val="000000"/>
              </w:rPr>
              <w:t>1,421,140</w:t>
            </w:r>
          </w:p>
        </w:tc>
        <w:tc>
          <w:tcPr>
            <w:tcW w:w="0" w:type="auto"/>
            <w:vAlign w:val="bottom"/>
          </w:tcPr>
          <w:p w14:paraId="27ECB057" w14:textId="3DEF95A3" w:rsidR="0023288C" w:rsidRPr="00AD4B4F" w:rsidRDefault="002C18BA">
            <w:pPr>
              <w:spacing w:beforeAutospacing="1" w:afterAutospacing="1"/>
              <w:jc w:val="right"/>
            </w:pPr>
            <w:r w:rsidRPr="00AD4B4F">
              <w:rPr>
                <w:color w:val="000000"/>
              </w:rPr>
              <w:t>1,323,931.60</w:t>
            </w:r>
            <w:r w:rsidR="00202916" w:rsidRPr="00AD4B4F">
              <w:rPr>
                <w:color w:val="000000"/>
              </w:rPr>
              <w:t xml:space="preserve"> </w:t>
            </w:r>
          </w:p>
        </w:tc>
      </w:tr>
      <w:tr w:rsidR="0023288C" w:rsidRPr="00AD4B4F" w14:paraId="7E23915A" w14:textId="77777777">
        <w:trPr>
          <w:cantSplit/>
        </w:trPr>
        <w:tc>
          <w:tcPr>
            <w:tcW w:w="0" w:type="auto"/>
            <w:vAlign w:val="bottom"/>
          </w:tcPr>
          <w:p w14:paraId="2E2C3A0F" w14:textId="77777777" w:rsidR="0023288C" w:rsidRPr="00AD4B4F" w:rsidRDefault="00202916">
            <w:pPr>
              <w:spacing w:beforeAutospacing="1" w:afterAutospacing="1"/>
            </w:pPr>
            <w:r w:rsidRPr="00AD4B4F">
              <w:rPr>
                <w:color w:val="000000"/>
              </w:rPr>
              <w:t>HOME</w:t>
            </w:r>
          </w:p>
        </w:tc>
        <w:tc>
          <w:tcPr>
            <w:tcW w:w="0" w:type="auto"/>
            <w:vAlign w:val="bottom"/>
          </w:tcPr>
          <w:p w14:paraId="71BC188E" w14:textId="77777777" w:rsidR="0023288C" w:rsidRPr="00AD4B4F" w:rsidRDefault="00202916">
            <w:pPr>
              <w:spacing w:beforeAutospacing="1" w:afterAutospacing="1"/>
            </w:pPr>
            <w:r w:rsidRPr="00AD4B4F">
              <w:rPr>
                <w:color w:val="000000"/>
              </w:rPr>
              <w:t>public - federal</w:t>
            </w:r>
          </w:p>
        </w:tc>
        <w:tc>
          <w:tcPr>
            <w:tcW w:w="0" w:type="auto"/>
            <w:vAlign w:val="bottom"/>
          </w:tcPr>
          <w:p w14:paraId="5806E7E3" w14:textId="77777777" w:rsidR="0023288C" w:rsidRPr="00AD4B4F" w:rsidRDefault="00202916">
            <w:pPr>
              <w:spacing w:beforeAutospacing="1" w:afterAutospacing="1"/>
              <w:jc w:val="right"/>
            </w:pPr>
            <w:r w:rsidRPr="00AD4B4F">
              <w:rPr>
                <w:color w:val="000000"/>
              </w:rPr>
              <w:t>588,243</w:t>
            </w:r>
          </w:p>
        </w:tc>
        <w:tc>
          <w:tcPr>
            <w:tcW w:w="0" w:type="auto"/>
            <w:vAlign w:val="bottom"/>
          </w:tcPr>
          <w:p w14:paraId="1BFAC350" w14:textId="6B6D6609" w:rsidR="0023288C" w:rsidRPr="00280783" w:rsidRDefault="002571A6" w:rsidP="002571A6">
            <w:pPr>
              <w:spacing w:after="0" w:line="240" w:lineRule="auto"/>
              <w:jc w:val="right"/>
              <w:rPr>
                <w:rFonts w:asciiTheme="minorHAnsi" w:hAnsiTheme="minorHAnsi" w:cstheme="minorHAnsi"/>
                <w:color w:val="000000"/>
              </w:rPr>
            </w:pPr>
            <w:r w:rsidRPr="00280783">
              <w:rPr>
                <w:rFonts w:asciiTheme="minorHAnsi" w:hAnsiTheme="minorHAnsi" w:cstheme="minorHAnsi"/>
                <w:color w:val="000000"/>
              </w:rPr>
              <w:t>602,985.40</w:t>
            </w:r>
            <w:r w:rsidR="00202916" w:rsidRPr="00280783">
              <w:rPr>
                <w:rFonts w:asciiTheme="minorHAnsi" w:hAnsiTheme="minorHAnsi" w:cstheme="minorHAnsi"/>
                <w:color w:val="000000"/>
              </w:rPr>
              <w:t xml:space="preserve"> </w:t>
            </w:r>
          </w:p>
        </w:tc>
      </w:tr>
    </w:tbl>
    <w:p w14:paraId="358C19DD" w14:textId="72921CE8"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3</w:t>
      </w:r>
      <w:r w:rsidRPr="00AD4B4F">
        <w:rPr>
          <w:rFonts w:asciiTheme="minorHAnsi" w:hAnsiTheme="minorHAnsi"/>
        </w:rPr>
        <w:fldChar w:fldCharType="end"/>
      </w:r>
      <w:r w:rsidRPr="00AD4B4F">
        <w:rPr>
          <w:rFonts w:asciiTheme="minorHAnsi" w:hAnsiTheme="minorHAnsi"/>
        </w:rPr>
        <w:t xml:space="preserve"> - Resources Made Available</w:t>
      </w:r>
    </w:p>
    <w:p w14:paraId="5AC909FA" w14:textId="77777777" w:rsidR="0023288C" w:rsidRPr="00AD4B4F" w:rsidRDefault="0023288C">
      <w:pPr>
        <w:spacing w:after="0" w:line="240" w:lineRule="auto"/>
        <w:rPr>
          <w:b/>
          <w:sz w:val="24"/>
          <w:szCs w:val="24"/>
        </w:rPr>
      </w:pPr>
    </w:p>
    <w:p w14:paraId="6D909BBA" w14:textId="77777777" w:rsidR="0023288C" w:rsidRPr="00AD4B4F" w:rsidRDefault="00202916">
      <w:pPr>
        <w:spacing w:after="0" w:line="240" w:lineRule="auto"/>
        <w:rPr>
          <w:b/>
          <w:sz w:val="24"/>
          <w:szCs w:val="24"/>
        </w:rPr>
      </w:pPr>
      <w:r w:rsidRPr="00AD4B4F">
        <w:rPr>
          <w:b/>
          <w:sz w:val="24"/>
          <w:szCs w:val="24"/>
        </w:rPr>
        <w:t>Narrative</w:t>
      </w:r>
    </w:p>
    <w:p w14:paraId="5FB31B97" w14:textId="77777777" w:rsidR="0023288C" w:rsidRPr="00AD4B4F" w:rsidRDefault="0023288C">
      <w:pPr>
        <w:spacing w:after="0" w:line="240" w:lineRule="auto"/>
        <w:rPr>
          <w:b/>
          <w:sz w:val="24"/>
          <w:szCs w:val="24"/>
        </w:rPr>
      </w:pPr>
    </w:p>
    <w:p w14:paraId="753654C8" w14:textId="77777777" w:rsidR="0023288C" w:rsidRPr="00AD4B4F" w:rsidRDefault="00202916">
      <w:pPr>
        <w:keepNext/>
        <w:spacing w:after="0" w:line="240" w:lineRule="auto"/>
        <w:rPr>
          <w:b/>
          <w:sz w:val="24"/>
          <w:szCs w:val="24"/>
        </w:rPr>
      </w:pPr>
      <w:r w:rsidRPr="00AD4B4F">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40"/>
        <w:gridCol w:w="2340"/>
        <w:gridCol w:w="2341"/>
      </w:tblGrid>
      <w:tr w:rsidR="0023288C" w:rsidRPr="00AD4B4F" w14:paraId="6970355A" w14:textId="77777777">
        <w:trPr>
          <w:cantSplit/>
        </w:trPr>
        <w:tc>
          <w:tcPr>
            <w:tcW w:w="2394" w:type="dxa"/>
          </w:tcPr>
          <w:p w14:paraId="405F7032" w14:textId="77777777" w:rsidR="0023288C" w:rsidRPr="00AD4B4F" w:rsidRDefault="00202916">
            <w:pPr>
              <w:keepNext/>
              <w:widowControl w:val="0"/>
              <w:spacing w:after="0" w:line="240" w:lineRule="auto"/>
              <w:jc w:val="center"/>
              <w:rPr>
                <w:rFonts w:cs="Arial"/>
                <w:b/>
              </w:rPr>
            </w:pPr>
            <w:r w:rsidRPr="00AD4B4F">
              <w:rPr>
                <w:rFonts w:cs="Arial"/>
                <w:b/>
              </w:rPr>
              <w:t>Target Area</w:t>
            </w:r>
          </w:p>
        </w:tc>
        <w:tc>
          <w:tcPr>
            <w:tcW w:w="2394" w:type="dxa"/>
          </w:tcPr>
          <w:p w14:paraId="28600B9A" w14:textId="77777777" w:rsidR="0023288C" w:rsidRPr="00AD4B4F" w:rsidRDefault="00202916">
            <w:pPr>
              <w:keepNext/>
              <w:widowControl w:val="0"/>
              <w:spacing w:after="0" w:line="240" w:lineRule="auto"/>
              <w:jc w:val="center"/>
              <w:rPr>
                <w:rFonts w:cs="Arial"/>
                <w:b/>
              </w:rPr>
            </w:pPr>
            <w:r w:rsidRPr="00AD4B4F">
              <w:rPr>
                <w:rFonts w:cs="Arial"/>
                <w:b/>
              </w:rPr>
              <w:t>Planned Percentage of Allocation</w:t>
            </w:r>
          </w:p>
        </w:tc>
        <w:tc>
          <w:tcPr>
            <w:tcW w:w="2394" w:type="dxa"/>
          </w:tcPr>
          <w:p w14:paraId="07A9D9D5" w14:textId="77777777" w:rsidR="0023288C" w:rsidRPr="00AD4B4F" w:rsidRDefault="00202916">
            <w:pPr>
              <w:keepNext/>
              <w:spacing w:after="0" w:line="240" w:lineRule="auto"/>
              <w:jc w:val="center"/>
              <w:rPr>
                <w:rFonts w:cs="Arial"/>
                <w:b/>
              </w:rPr>
            </w:pPr>
            <w:r w:rsidRPr="00AD4B4F">
              <w:rPr>
                <w:rFonts w:cs="Arial"/>
                <w:b/>
              </w:rPr>
              <w:t>Actual Percentage of Allocation</w:t>
            </w:r>
          </w:p>
        </w:tc>
        <w:tc>
          <w:tcPr>
            <w:tcW w:w="2394" w:type="dxa"/>
          </w:tcPr>
          <w:p w14:paraId="1A166D6A" w14:textId="77777777" w:rsidR="0023288C" w:rsidRPr="00AD4B4F" w:rsidRDefault="00202916">
            <w:pPr>
              <w:keepNext/>
              <w:widowControl w:val="0"/>
              <w:spacing w:after="0" w:line="240" w:lineRule="auto"/>
              <w:jc w:val="center"/>
              <w:rPr>
                <w:rFonts w:cs="Arial"/>
                <w:b/>
              </w:rPr>
            </w:pPr>
            <w:r w:rsidRPr="00AD4B4F">
              <w:rPr>
                <w:rFonts w:cs="Arial"/>
                <w:b/>
              </w:rPr>
              <w:t>Narrative Description</w:t>
            </w:r>
          </w:p>
        </w:tc>
      </w:tr>
      <w:tr w:rsidR="0023288C" w:rsidRPr="00AD4B4F" w14:paraId="51F4BB59" w14:textId="77777777">
        <w:trPr>
          <w:cantSplit/>
        </w:trPr>
        <w:tc>
          <w:tcPr>
            <w:tcW w:w="0" w:type="auto"/>
            <w:vAlign w:val="bottom"/>
          </w:tcPr>
          <w:p w14:paraId="10BBA03B" w14:textId="77777777" w:rsidR="0023288C" w:rsidRPr="00AD4B4F" w:rsidRDefault="00202916">
            <w:pPr>
              <w:spacing w:beforeAutospacing="1" w:afterAutospacing="1"/>
            </w:pPr>
            <w:r w:rsidRPr="00AD4B4F">
              <w:rPr>
                <w:color w:val="000000"/>
              </w:rPr>
              <w:t>Citywide</w:t>
            </w:r>
          </w:p>
        </w:tc>
        <w:tc>
          <w:tcPr>
            <w:tcW w:w="0" w:type="auto"/>
            <w:vAlign w:val="bottom"/>
          </w:tcPr>
          <w:p w14:paraId="08FEA571" w14:textId="77777777" w:rsidR="0023288C" w:rsidRPr="00AD4B4F" w:rsidRDefault="00202916">
            <w:pPr>
              <w:spacing w:beforeAutospacing="1" w:afterAutospacing="1"/>
            </w:pPr>
            <w:r w:rsidRPr="00AD4B4F">
              <w:rPr>
                <w:color w:val="000000"/>
              </w:rPr>
              <w:t>74</w:t>
            </w:r>
          </w:p>
        </w:tc>
        <w:tc>
          <w:tcPr>
            <w:tcW w:w="0" w:type="auto"/>
            <w:vAlign w:val="bottom"/>
          </w:tcPr>
          <w:p w14:paraId="2C1DA7C2" w14:textId="1B73EFE1" w:rsidR="0023288C" w:rsidRPr="00AD4B4F" w:rsidRDefault="00202916">
            <w:pPr>
              <w:spacing w:beforeAutospacing="1" w:afterAutospacing="1"/>
            </w:pPr>
            <w:r w:rsidRPr="00AD4B4F">
              <w:rPr>
                <w:color w:val="000000"/>
              </w:rPr>
              <w:t xml:space="preserve"> </w:t>
            </w:r>
            <w:r w:rsidR="00280783">
              <w:rPr>
                <w:color w:val="000000"/>
              </w:rPr>
              <w:t>80</w:t>
            </w:r>
          </w:p>
        </w:tc>
        <w:tc>
          <w:tcPr>
            <w:tcW w:w="0" w:type="auto"/>
            <w:vAlign w:val="bottom"/>
          </w:tcPr>
          <w:p w14:paraId="08B990CD" w14:textId="77777777" w:rsidR="0023288C" w:rsidRPr="00AD4B4F" w:rsidRDefault="00202916">
            <w:pPr>
              <w:spacing w:beforeAutospacing="1" w:afterAutospacing="1"/>
            </w:pPr>
            <w:r w:rsidRPr="00AD4B4F">
              <w:rPr>
                <w:color w:val="000000"/>
              </w:rPr>
              <w:t>Citywide</w:t>
            </w:r>
          </w:p>
        </w:tc>
      </w:tr>
    </w:tbl>
    <w:p w14:paraId="34C42BFC" w14:textId="46C48A75"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4</w:t>
      </w:r>
      <w:r w:rsidRPr="00AD4B4F">
        <w:rPr>
          <w:rFonts w:asciiTheme="minorHAnsi" w:hAnsiTheme="minorHAnsi"/>
        </w:rPr>
        <w:fldChar w:fldCharType="end"/>
      </w:r>
      <w:r w:rsidRPr="00AD4B4F">
        <w:rPr>
          <w:rFonts w:asciiTheme="minorHAnsi" w:hAnsiTheme="minorHAnsi"/>
        </w:rPr>
        <w:t xml:space="preserve"> – Identify the geographic distribution and location of investments</w:t>
      </w:r>
    </w:p>
    <w:p w14:paraId="64D8368A" w14:textId="77777777" w:rsidR="0023288C" w:rsidRPr="00AD4B4F" w:rsidRDefault="0023288C">
      <w:pPr>
        <w:keepNext/>
        <w:widowControl w:val="0"/>
        <w:spacing w:line="204" w:lineRule="auto"/>
        <w:rPr>
          <w:b/>
          <w:sz w:val="24"/>
          <w:szCs w:val="24"/>
        </w:rPr>
      </w:pPr>
    </w:p>
    <w:p w14:paraId="55B13DB9" w14:textId="205BF5C4" w:rsidR="0023288C" w:rsidRPr="00AD4B4F" w:rsidRDefault="00202916">
      <w:pPr>
        <w:widowControl w:val="0"/>
        <w:spacing w:line="204" w:lineRule="auto"/>
        <w:rPr>
          <w:b/>
          <w:sz w:val="24"/>
          <w:szCs w:val="24"/>
        </w:rPr>
      </w:pPr>
      <w:r w:rsidRPr="00AD4B4F">
        <w:rPr>
          <w:b/>
          <w:sz w:val="24"/>
          <w:szCs w:val="24"/>
        </w:rPr>
        <w:t>Narrative</w:t>
      </w:r>
    </w:p>
    <w:p w14:paraId="48C1DE48" w14:textId="77777777" w:rsidR="00280783" w:rsidRPr="00280783" w:rsidRDefault="00280783" w:rsidP="00280783">
      <w:r w:rsidRPr="00280783">
        <w:rPr>
          <w:bCs/>
        </w:rPr>
        <w:t xml:space="preserve">The City also expended </w:t>
      </w:r>
      <w:r w:rsidRPr="00280783">
        <w:t>$270,991.71</w:t>
      </w:r>
      <w:r w:rsidRPr="00280783">
        <w:t xml:space="preserve"> in CDBG-CV funds during the program year.  </w:t>
      </w:r>
    </w:p>
    <w:p w14:paraId="02F0164E" w14:textId="507940A1" w:rsidR="00C13002" w:rsidRPr="00280783" w:rsidRDefault="00C13002" w:rsidP="00280783">
      <w:pPr>
        <w:rPr>
          <w:rFonts w:ascii="Arial" w:hAnsi="Arial" w:cs="Arial"/>
        </w:rPr>
      </w:pPr>
      <w:r w:rsidRPr="00280783">
        <w:rPr>
          <w:bCs/>
        </w:rPr>
        <w:t>The majority of activities funded in 2022 were considered “citywide”. The City did not establish geographic target areas in its Consolidated Plan. Activities such as acquisition, demolition, interim assistance (Clean and Seal and building stabilization), economic development, homeownership (York Homebuyer Assistance Program), and housing rehabilitation provide services where needed and are requested. Tenfold (formerly LHOP) responds to needs for housing services based on need and income. Public facility and infrastructure projects generally benefit the City as a whole.</w:t>
      </w:r>
    </w:p>
    <w:p w14:paraId="0B99CA23" w14:textId="77777777" w:rsidR="0023288C" w:rsidRPr="00AD4B4F" w:rsidRDefault="00202916">
      <w:pPr>
        <w:pageBreakBefore/>
        <w:widowControl w:val="0"/>
        <w:spacing w:line="240" w:lineRule="auto"/>
        <w:rPr>
          <w:b/>
          <w:sz w:val="24"/>
          <w:szCs w:val="24"/>
        </w:rPr>
      </w:pPr>
      <w:r w:rsidRPr="00AD4B4F">
        <w:rPr>
          <w:b/>
          <w:sz w:val="24"/>
          <w:szCs w:val="24"/>
        </w:rPr>
        <w:lastRenderedPageBreak/>
        <w:t>Leveraging</w:t>
      </w:r>
    </w:p>
    <w:p w14:paraId="25EC51B8" w14:textId="77777777" w:rsidR="0023288C" w:rsidRPr="00AD4B4F" w:rsidRDefault="00202916">
      <w:pPr>
        <w:widowControl w:val="0"/>
        <w:spacing w:line="240" w:lineRule="auto"/>
        <w:rPr>
          <w:b/>
          <w:sz w:val="24"/>
          <w:szCs w:val="24"/>
        </w:rPr>
      </w:pPr>
      <w:r w:rsidRPr="00AD4B4F">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5B059EC9" w14:textId="109154BB" w:rsidR="003D0DF0" w:rsidRPr="00AD4B4F" w:rsidRDefault="006C7FC5" w:rsidP="00280783">
      <w:r w:rsidRPr="00AD4B4F">
        <w:t xml:space="preserve">The City reserved HOME dollars for Homes at Thackston Park Phase II, which received Low Income Housing Tax Credits.  </w:t>
      </w:r>
      <w:r w:rsidR="00705506">
        <w:t>The project started construction in 2022</w:t>
      </w:r>
      <w:r w:rsidRPr="00AD4B4F">
        <w:t>.  Total amount leveraged is approximately $1</w:t>
      </w:r>
      <w:r w:rsidR="00705506">
        <w:t>6</w:t>
      </w:r>
      <w:r w:rsidRPr="00AD4B4F">
        <w:t>,</w:t>
      </w:r>
      <w:r w:rsidR="00705506">
        <w:t>0</w:t>
      </w:r>
      <w:r w:rsidRPr="00AD4B4F">
        <w:t>00,000.</w:t>
      </w:r>
    </w:p>
    <w:p w14:paraId="0E6B9F81" w14:textId="01A9733E" w:rsidR="006C7FC5" w:rsidRPr="00AD4B4F" w:rsidRDefault="006C7FC5" w:rsidP="00280783">
      <w:r w:rsidRPr="00AD4B4F">
        <w:t>The City continuously seeks public and private resources to leverage its entitlement funds in assisting with implementation of policies and programs to implement the Consolidated Plan. The City administers a Real Estate Tax Abatement Program for substantial improvements to residential properties. In agreement with State legislation, York also has established zones that provide tax abatement for industrial uses in support of economic revitalization.</w:t>
      </w:r>
    </w:p>
    <w:p w14:paraId="51D2D946" w14:textId="77D0463C" w:rsidR="006C7FC5" w:rsidRPr="00AD4B4F" w:rsidRDefault="006C7FC5" w:rsidP="00280783">
      <w:r w:rsidRPr="00AD4B4F">
        <w:t>The City of York participates in the York City and County Continuum of Care.  The CoC prepares and updates strategies to end homelessness, system performance measures and annually competes for funding to provide rapid rehousing, permanent supportive housing and coordinated entry services for homeless households and victims of domestic violence.  In the FY 202</w:t>
      </w:r>
      <w:r w:rsidR="00705506">
        <w:t xml:space="preserve">1 </w:t>
      </w:r>
      <w:r w:rsidRPr="00AD4B4F">
        <w:t>Competition, the COC was awarded $1,</w:t>
      </w:r>
      <w:r w:rsidR="00705506">
        <w:t>811,486</w:t>
      </w:r>
      <w:r w:rsidRPr="00AD4B4F">
        <w:t xml:space="preserve"> for 12 projects.  In addition, while the City of York does not receive Emergency Solutions Grant funding directly from HUD, York County receives dollars that may be used in York City for Rapid Rehousing, Homeless Prevention, Street Outreach and Emergency Shelter activities.</w:t>
      </w:r>
    </w:p>
    <w:p w14:paraId="20E6423A" w14:textId="7C51C443" w:rsidR="006C7FC5" w:rsidRPr="00AD4B4F" w:rsidRDefault="006C7FC5" w:rsidP="00280783">
      <w:r w:rsidRPr="00AD4B4F">
        <w:t>The City of York is exempt from the match requirements. The City of York is a distressed community and has a Match W</w:t>
      </w:r>
      <w:r w:rsidR="00280783">
        <w:t>a</w:t>
      </w:r>
      <w:r w:rsidRPr="00AD4B4F">
        <w:t>iver of 100%.</w:t>
      </w:r>
    </w:p>
    <w:p w14:paraId="7607D1BD" w14:textId="3C875ED9" w:rsidR="0023288C" w:rsidRPr="00AD4B4F" w:rsidRDefault="006C7FC5" w:rsidP="00280783">
      <w:r w:rsidRPr="00AD4B4F">
        <w:t>No publicly owned land or property within the city was used to address the needs identified in the plan.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2345"/>
      </w:tblGrid>
      <w:tr w:rsidR="0023288C" w:rsidRPr="00AD4B4F" w14:paraId="5C19429B" w14:textId="77777777" w:rsidTr="00EF3643">
        <w:trPr>
          <w:cantSplit/>
          <w:tblHeader/>
        </w:trPr>
        <w:tc>
          <w:tcPr>
            <w:tcW w:w="9350" w:type="dxa"/>
            <w:gridSpan w:val="2"/>
          </w:tcPr>
          <w:p w14:paraId="0808FE87" w14:textId="77777777" w:rsidR="0023288C" w:rsidRPr="00AD4B4F" w:rsidRDefault="00202916">
            <w:pPr>
              <w:keepNext/>
              <w:widowControl w:val="0"/>
              <w:spacing w:after="0" w:line="240" w:lineRule="auto"/>
              <w:jc w:val="center"/>
              <w:rPr>
                <w:rFonts w:cs="Arial"/>
              </w:rPr>
            </w:pPr>
            <w:r w:rsidRPr="00AD4B4F">
              <w:rPr>
                <w:b/>
              </w:rPr>
              <w:t>Fiscal Year Summary – HOME Match</w:t>
            </w:r>
          </w:p>
        </w:tc>
      </w:tr>
      <w:tr w:rsidR="0023288C" w:rsidRPr="00AD4B4F" w14:paraId="455D1051" w14:textId="77777777" w:rsidTr="00EF3643">
        <w:trPr>
          <w:cantSplit/>
        </w:trPr>
        <w:tc>
          <w:tcPr>
            <w:tcW w:w="7005" w:type="dxa"/>
          </w:tcPr>
          <w:p w14:paraId="501D0BAD" w14:textId="77777777" w:rsidR="0023288C" w:rsidRPr="00AD4B4F" w:rsidRDefault="00202916">
            <w:pPr>
              <w:keepNext/>
              <w:spacing w:after="0" w:line="240" w:lineRule="auto"/>
            </w:pPr>
            <w:r w:rsidRPr="00AD4B4F">
              <w:t>1. Excess match from prior Federal fiscal year</w:t>
            </w:r>
          </w:p>
        </w:tc>
        <w:tc>
          <w:tcPr>
            <w:tcW w:w="2345" w:type="dxa"/>
          </w:tcPr>
          <w:p w14:paraId="0555BDC0" w14:textId="1B791B97" w:rsidR="0023288C" w:rsidRPr="00AD4B4F" w:rsidRDefault="00EF3643">
            <w:pPr>
              <w:keepNext/>
              <w:widowControl w:val="0"/>
              <w:spacing w:after="0" w:line="240" w:lineRule="auto"/>
              <w:rPr>
                <w:rFonts w:cs="Arial"/>
              </w:rPr>
            </w:pPr>
            <w:r w:rsidRPr="00AD4B4F">
              <w:rPr>
                <w:rFonts w:cs="Arial"/>
              </w:rPr>
              <w:t>N/A Match Exemption</w:t>
            </w:r>
          </w:p>
        </w:tc>
      </w:tr>
      <w:tr w:rsidR="00EF3643" w:rsidRPr="00AD4B4F" w14:paraId="4D4B5645" w14:textId="77777777" w:rsidTr="00EF3643">
        <w:trPr>
          <w:cantSplit/>
        </w:trPr>
        <w:tc>
          <w:tcPr>
            <w:tcW w:w="7005" w:type="dxa"/>
          </w:tcPr>
          <w:p w14:paraId="1E47DBA7" w14:textId="77777777" w:rsidR="00EF3643" w:rsidRPr="00AD4B4F" w:rsidRDefault="00EF3643" w:rsidP="00EF3643">
            <w:pPr>
              <w:keepNext/>
              <w:spacing w:after="0" w:line="240" w:lineRule="auto"/>
            </w:pPr>
            <w:r w:rsidRPr="00AD4B4F">
              <w:t>2. Match contributed during current Federal fiscal year</w:t>
            </w:r>
          </w:p>
        </w:tc>
        <w:tc>
          <w:tcPr>
            <w:tcW w:w="2345" w:type="dxa"/>
          </w:tcPr>
          <w:p w14:paraId="45C2628B" w14:textId="1B252977" w:rsidR="00EF3643" w:rsidRPr="00AD4B4F" w:rsidRDefault="00EF3643" w:rsidP="00EF3643">
            <w:pPr>
              <w:keepNext/>
              <w:widowControl w:val="0"/>
              <w:spacing w:after="0" w:line="240" w:lineRule="auto"/>
              <w:rPr>
                <w:rFonts w:cs="Arial"/>
              </w:rPr>
            </w:pPr>
            <w:r w:rsidRPr="00AD4B4F">
              <w:rPr>
                <w:rFonts w:cs="Arial"/>
              </w:rPr>
              <w:t>N/A Match Exemption</w:t>
            </w:r>
          </w:p>
        </w:tc>
      </w:tr>
      <w:tr w:rsidR="00EF3643" w:rsidRPr="00AD4B4F" w14:paraId="357D1AFF" w14:textId="77777777" w:rsidTr="00EF3643">
        <w:trPr>
          <w:cantSplit/>
        </w:trPr>
        <w:tc>
          <w:tcPr>
            <w:tcW w:w="7005" w:type="dxa"/>
          </w:tcPr>
          <w:p w14:paraId="5E3984DC" w14:textId="77777777" w:rsidR="00EF3643" w:rsidRPr="00AD4B4F" w:rsidRDefault="00EF3643" w:rsidP="00EF3643">
            <w:pPr>
              <w:keepNext/>
              <w:spacing w:after="0" w:line="240" w:lineRule="auto"/>
            </w:pPr>
            <w:r w:rsidRPr="00AD4B4F">
              <w:t xml:space="preserve">3 .Total match available for current Federal fiscal year (Line 1 plus Line 2) </w:t>
            </w:r>
          </w:p>
        </w:tc>
        <w:tc>
          <w:tcPr>
            <w:tcW w:w="2345" w:type="dxa"/>
          </w:tcPr>
          <w:p w14:paraId="5FAAC60F" w14:textId="519CC5E0" w:rsidR="00EF3643" w:rsidRPr="00AD4B4F" w:rsidRDefault="00EF3643" w:rsidP="00EF3643">
            <w:pPr>
              <w:keepNext/>
              <w:widowControl w:val="0"/>
              <w:spacing w:after="0" w:line="240" w:lineRule="auto"/>
              <w:rPr>
                <w:rFonts w:cs="Arial"/>
              </w:rPr>
            </w:pPr>
            <w:r w:rsidRPr="00AD4B4F">
              <w:rPr>
                <w:rFonts w:cs="Arial"/>
              </w:rPr>
              <w:t>N/A Match Exemption</w:t>
            </w:r>
          </w:p>
        </w:tc>
      </w:tr>
      <w:tr w:rsidR="00EF3643" w:rsidRPr="00AD4B4F" w14:paraId="6CB4955F" w14:textId="77777777" w:rsidTr="00EF3643">
        <w:trPr>
          <w:cantSplit/>
        </w:trPr>
        <w:tc>
          <w:tcPr>
            <w:tcW w:w="7005" w:type="dxa"/>
          </w:tcPr>
          <w:p w14:paraId="1B81718B" w14:textId="77777777" w:rsidR="00EF3643" w:rsidRPr="00AD4B4F" w:rsidRDefault="00EF3643" w:rsidP="00EF3643">
            <w:pPr>
              <w:keepNext/>
              <w:spacing w:after="0" w:line="240" w:lineRule="auto"/>
            </w:pPr>
            <w:r w:rsidRPr="00AD4B4F">
              <w:t>4. Match liability for current Federal fiscal year</w:t>
            </w:r>
          </w:p>
        </w:tc>
        <w:tc>
          <w:tcPr>
            <w:tcW w:w="2345" w:type="dxa"/>
          </w:tcPr>
          <w:p w14:paraId="4FEDB138" w14:textId="7EC9C28B" w:rsidR="00EF3643" w:rsidRPr="00AD4B4F" w:rsidRDefault="00EF3643" w:rsidP="00EF3643">
            <w:pPr>
              <w:keepNext/>
              <w:widowControl w:val="0"/>
              <w:spacing w:after="0" w:line="240" w:lineRule="auto"/>
              <w:rPr>
                <w:rFonts w:cs="Arial"/>
              </w:rPr>
            </w:pPr>
            <w:r w:rsidRPr="00AD4B4F">
              <w:rPr>
                <w:rFonts w:cs="Arial"/>
              </w:rPr>
              <w:t>N/A Match Exemption</w:t>
            </w:r>
          </w:p>
        </w:tc>
      </w:tr>
      <w:tr w:rsidR="00EF3643" w:rsidRPr="00AD4B4F" w14:paraId="2EBE06D6" w14:textId="77777777" w:rsidTr="00EF3643">
        <w:trPr>
          <w:cantSplit/>
        </w:trPr>
        <w:tc>
          <w:tcPr>
            <w:tcW w:w="7005" w:type="dxa"/>
          </w:tcPr>
          <w:p w14:paraId="66D34A28" w14:textId="77777777" w:rsidR="00EF3643" w:rsidRPr="00AD4B4F" w:rsidRDefault="00EF3643" w:rsidP="00EF3643">
            <w:pPr>
              <w:keepNext/>
              <w:spacing w:after="0" w:line="240" w:lineRule="auto"/>
            </w:pPr>
            <w:r w:rsidRPr="00AD4B4F">
              <w:t>5. Excess match carried over to next Federal fiscal year (Line 3 minus Line 4)</w:t>
            </w:r>
          </w:p>
        </w:tc>
        <w:tc>
          <w:tcPr>
            <w:tcW w:w="2345" w:type="dxa"/>
          </w:tcPr>
          <w:p w14:paraId="52D0C90E" w14:textId="51679FC1" w:rsidR="00EF3643" w:rsidRPr="00AD4B4F" w:rsidRDefault="00EF3643" w:rsidP="00EF3643">
            <w:pPr>
              <w:keepNext/>
              <w:widowControl w:val="0"/>
              <w:spacing w:after="0" w:line="240" w:lineRule="auto"/>
              <w:rPr>
                <w:rFonts w:cs="Arial"/>
              </w:rPr>
            </w:pPr>
            <w:r w:rsidRPr="00AD4B4F">
              <w:rPr>
                <w:rFonts w:cs="Arial"/>
              </w:rPr>
              <w:t>N/A Match Exemption</w:t>
            </w:r>
          </w:p>
        </w:tc>
      </w:tr>
    </w:tbl>
    <w:p w14:paraId="4B191709" w14:textId="77B4C2F9"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5</w:t>
      </w:r>
      <w:r w:rsidRPr="00AD4B4F">
        <w:rPr>
          <w:rFonts w:asciiTheme="minorHAnsi" w:hAnsiTheme="minorHAnsi"/>
        </w:rPr>
        <w:fldChar w:fldCharType="end"/>
      </w:r>
      <w:r w:rsidRPr="00AD4B4F">
        <w:rPr>
          <w:rFonts w:asciiTheme="minorHAnsi" w:hAnsiTheme="minorHAnsi"/>
        </w:rPr>
        <w:t xml:space="preserve"> – Fiscal Year Summary - HOME Match Report</w:t>
      </w:r>
    </w:p>
    <w:p w14:paraId="1C957F33" w14:textId="77777777" w:rsidR="0023288C" w:rsidRPr="00AD4B4F" w:rsidRDefault="0023288C">
      <w:pPr>
        <w:widowControl w:val="0"/>
        <w:spacing w:line="204" w:lineRule="auto"/>
        <w:rPr>
          <w:rFonts w:cs="Arial"/>
        </w:rPr>
      </w:pPr>
    </w:p>
    <w:p w14:paraId="2E3D9395" w14:textId="77777777" w:rsidR="0023288C" w:rsidRPr="00AD4B4F" w:rsidRDefault="0023288C">
      <w:pPr>
        <w:widowControl w:val="0"/>
        <w:spacing w:line="204" w:lineRule="auto"/>
        <w:rPr>
          <w:rFonts w:cs="Arial"/>
        </w:rPr>
      </w:pPr>
    </w:p>
    <w:p w14:paraId="0B537C9F" w14:textId="77777777" w:rsidR="0023288C" w:rsidRPr="00AD4B4F" w:rsidRDefault="0023288C">
      <w:pPr>
        <w:keepNext/>
        <w:spacing w:after="0" w:line="240" w:lineRule="auto"/>
        <w:rPr>
          <w:b/>
          <w:sz w:val="24"/>
          <w:szCs w:val="24"/>
        </w:rPr>
        <w:sectPr w:rsidR="0023288C" w:rsidRPr="00AD4B4F">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23288C" w:rsidRPr="00AD4B4F" w14:paraId="6D132D20" w14:textId="77777777" w:rsidTr="00EF3643">
        <w:trPr>
          <w:cantSplit/>
          <w:tblHeader/>
        </w:trPr>
        <w:tc>
          <w:tcPr>
            <w:tcW w:w="12950" w:type="dxa"/>
            <w:gridSpan w:val="9"/>
          </w:tcPr>
          <w:p w14:paraId="1CE089CD" w14:textId="77777777" w:rsidR="0023288C" w:rsidRPr="00AD4B4F" w:rsidRDefault="00202916">
            <w:pPr>
              <w:keepNext/>
              <w:widowControl w:val="0"/>
              <w:tabs>
                <w:tab w:val="left" w:pos="405"/>
                <w:tab w:val="center" w:pos="6480"/>
              </w:tabs>
              <w:spacing w:after="0" w:line="240" w:lineRule="auto"/>
              <w:rPr>
                <w:b/>
              </w:rPr>
            </w:pPr>
            <w:r w:rsidRPr="00AD4B4F">
              <w:rPr>
                <w:b/>
              </w:rPr>
              <w:lastRenderedPageBreak/>
              <w:tab/>
            </w:r>
            <w:r w:rsidRPr="00AD4B4F">
              <w:rPr>
                <w:b/>
              </w:rPr>
              <w:tab/>
              <w:t>Match Contribution for the Federal Fiscal Year</w:t>
            </w:r>
          </w:p>
        </w:tc>
      </w:tr>
      <w:tr w:rsidR="0023288C" w:rsidRPr="00AD4B4F" w14:paraId="1841C9FC" w14:textId="77777777" w:rsidTr="00EF3643">
        <w:trPr>
          <w:cantSplit/>
          <w:tblHeader/>
        </w:trPr>
        <w:tc>
          <w:tcPr>
            <w:tcW w:w="1438" w:type="dxa"/>
          </w:tcPr>
          <w:p w14:paraId="13B7128C" w14:textId="77777777" w:rsidR="0023288C" w:rsidRPr="00AD4B4F" w:rsidRDefault="00202916">
            <w:pPr>
              <w:keepNext/>
              <w:widowControl w:val="0"/>
              <w:spacing w:after="0" w:line="240" w:lineRule="auto"/>
              <w:jc w:val="center"/>
              <w:rPr>
                <w:b/>
                <w:sz w:val="20"/>
                <w:szCs w:val="20"/>
              </w:rPr>
            </w:pPr>
            <w:r w:rsidRPr="00AD4B4F">
              <w:rPr>
                <w:b/>
                <w:sz w:val="20"/>
                <w:szCs w:val="20"/>
              </w:rPr>
              <w:t>Project No. or Other ID</w:t>
            </w:r>
          </w:p>
        </w:tc>
        <w:tc>
          <w:tcPr>
            <w:tcW w:w="1439" w:type="dxa"/>
          </w:tcPr>
          <w:p w14:paraId="714F4A51" w14:textId="77777777" w:rsidR="0023288C" w:rsidRPr="00AD4B4F" w:rsidRDefault="00202916">
            <w:pPr>
              <w:keepNext/>
              <w:widowControl w:val="0"/>
              <w:spacing w:after="0" w:line="240" w:lineRule="auto"/>
              <w:jc w:val="center"/>
              <w:rPr>
                <w:b/>
                <w:sz w:val="20"/>
                <w:szCs w:val="20"/>
              </w:rPr>
            </w:pPr>
            <w:r w:rsidRPr="00AD4B4F">
              <w:rPr>
                <w:b/>
                <w:sz w:val="20"/>
                <w:szCs w:val="20"/>
              </w:rPr>
              <w:t>Date of Contribution</w:t>
            </w:r>
          </w:p>
        </w:tc>
        <w:tc>
          <w:tcPr>
            <w:tcW w:w="1439" w:type="dxa"/>
          </w:tcPr>
          <w:p w14:paraId="09E2EDE1" w14:textId="77777777" w:rsidR="0023288C" w:rsidRPr="00AD4B4F" w:rsidRDefault="00202916">
            <w:pPr>
              <w:keepNext/>
              <w:widowControl w:val="0"/>
              <w:spacing w:after="0" w:line="240" w:lineRule="auto"/>
              <w:jc w:val="center"/>
              <w:rPr>
                <w:b/>
                <w:sz w:val="20"/>
                <w:szCs w:val="20"/>
              </w:rPr>
            </w:pPr>
            <w:r w:rsidRPr="00AD4B4F">
              <w:rPr>
                <w:b/>
                <w:sz w:val="20"/>
                <w:szCs w:val="20"/>
              </w:rPr>
              <w:t>Cash</w:t>
            </w:r>
          </w:p>
          <w:p w14:paraId="61CC8C4E" w14:textId="77777777" w:rsidR="0023288C" w:rsidRPr="00AD4B4F" w:rsidRDefault="00202916">
            <w:pPr>
              <w:keepNext/>
              <w:widowControl w:val="0"/>
              <w:spacing w:after="0" w:line="240" w:lineRule="auto"/>
              <w:jc w:val="center"/>
              <w:rPr>
                <w:b/>
                <w:sz w:val="20"/>
                <w:szCs w:val="20"/>
              </w:rPr>
            </w:pPr>
            <w:r w:rsidRPr="00AD4B4F">
              <w:rPr>
                <w:b/>
                <w:sz w:val="20"/>
                <w:szCs w:val="20"/>
              </w:rPr>
              <w:t>(non-Federal sources)</w:t>
            </w:r>
          </w:p>
        </w:tc>
        <w:tc>
          <w:tcPr>
            <w:tcW w:w="1439" w:type="dxa"/>
          </w:tcPr>
          <w:p w14:paraId="7F2F75AE" w14:textId="77777777" w:rsidR="0023288C" w:rsidRPr="00AD4B4F" w:rsidRDefault="00202916">
            <w:pPr>
              <w:keepNext/>
              <w:widowControl w:val="0"/>
              <w:spacing w:after="0" w:line="240" w:lineRule="auto"/>
              <w:jc w:val="center"/>
              <w:rPr>
                <w:b/>
                <w:sz w:val="20"/>
                <w:szCs w:val="20"/>
              </w:rPr>
            </w:pPr>
            <w:r w:rsidRPr="00AD4B4F">
              <w:rPr>
                <w:b/>
                <w:sz w:val="20"/>
                <w:szCs w:val="20"/>
              </w:rPr>
              <w:t>Foregone Taxes, Fees, Charges</w:t>
            </w:r>
          </w:p>
        </w:tc>
        <w:tc>
          <w:tcPr>
            <w:tcW w:w="1439" w:type="dxa"/>
          </w:tcPr>
          <w:p w14:paraId="5AC2A33F" w14:textId="77777777" w:rsidR="0023288C" w:rsidRPr="00AD4B4F" w:rsidRDefault="00202916">
            <w:pPr>
              <w:keepNext/>
              <w:widowControl w:val="0"/>
              <w:spacing w:after="0" w:line="240" w:lineRule="auto"/>
              <w:jc w:val="center"/>
              <w:rPr>
                <w:b/>
                <w:sz w:val="20"/>
                <w:szCs w:val="20"/>
              </w:rPr>
            </w:pPr>
            <w:r w:rsidRPr="00AD4B4F">
              <w:rPr>
                <w:b/>
                <w:sz w:val="20"/>
                <w:szCs w:val="20"/>
              </w:rPr>
              <w:t>Appraised Land/Real Property</w:t>
            </w:r>
          </w:p>
        </w:tc>
        <w:tc>
          <w:tcPr>
            <w:tcW w:w="1439" w:type="dxa"/>
          </w:tcPr>
          <w:p w14:paraId="77FD9EA5" w14:textId="77777777" w:rsidR="0023288C" w:rsidRPr="00AD4B4F" w:rsidRDefault="00202916">
            <w:pPr>
              <w:keepNext/>
              <w:widowControl w:val="0"/>
              <w:spacing w:after="0" w:line="240" w:lineRule="auto"/>
              <w:jc w:val="center"/>
              <w:rPr>
                <w:b/>
                <w:sz w:val="20"/>
                <w:szCs w:val="20"/>
              </w:rPr>
            </w:pPr>
            <w:r w:rsidRPr="00AD4B4F">
              <w:rPr>
                <w:b/>
                <w:sz w:val="20"/>
                <w:szCs w:val="20"/>
              </w:rPr>
              <w:t>Required Infrastructure</w:t>
            </w:r>
          </w:p>
        </w:tc>
        <w:tc>
          <w:tcPr>
            <w:tcW w:w="1439" w:type="dxa"/>
          </w:tcPr>
          <w:p w14:paraId="57BC1C52" w14:textId="77777777" w:rsidR="0023288C" w:rsidRPr="00AD4B4F" w:rsidRDefault="00202916">
            <w:pPr>
              <w:keepNext/>
              <w:widowControl w:val="0"/>
              <w:spacing w:after="0" w:line="240" w:lineRule="auto"/>
              <w:jc w:val="center"/>
              <w:rPr>
                <w:b/>
                <w:sz w:val="20"/>
                <w:szCs w:val="20"/>
              </w:rPr>
            </w:pPr>
            <w:r w:rsidRPr="00AD4B4F">
              <w:rPr>
                <w:b/>
                <w:sz w:val="20"/>
                <w:szCs w:val="20"/>
              </w:rPr>
              <w:t>Site Preparation, Construction Materials, Donated labor</w:t>
            </w:r>
          </w:p>
        </w:tc>
        <w:tc>
          <w:tcPr>
            <w:tcW w:w="1439" w:type="dxa"/>
          </w:tcPr>
          <w:p w14:paraId="669763B5" w14:textId="77777777" w:rsidR="0023288C" w:rsidRPr="00AD4B4F" w:rsidRDefault="00202916">
            <w:pPr>
              <w:keepNext/>
              <w:widowControl w:val="0"/>
              <w:spacing w:after="0" w:line="240" w:lineRule="auto"/>
              <w:jc w:val="center"/>
              <w:rPr>
                <w:b/>
                <w:sz w:val="20"/>
                <w:szCs w:val="20"/>
              </w:rPr>
            </w:pPr>
            <w:r w:rsidRPr="00AD4B4F">
              <w:rPr>
                <w:b/>
                <w:sz w:val="20"/>
                <w:szCs w:val="20"/>
              </w:rPr>
              <w:t>Bond Financing</w:t>
            </w:r>
          </w:p>
        </w:tc>
        <w:tc>
          <w:tcPr>
            <w:tcW w:w="1439" w:type="dxa"/>
          </w:tcPr>
          <w:p w14:paraId="58D90280" w14:textId="77777777" w:rsidR="0023288C" w:rsidRPr="00AD4B4F" w:rsidRDefault="00202916">
            <w:pPr>
              <w:keepNext/>
              <w:widowControl w:val="0"/>
              <w:spacing w:after="0" w:line="240" w:lineRule="auto"/>
              <w:jc w:val="center"/>
              <w:rPr>
                <w:b/>
                <w:sz w:val="20"/>
                <w:szCs w:val="20"/>
              </w:rPr>
            </w:pPr>
            <w:r w:rsidRPr="00AD4B4F">
              <w:rPr>
                <w:b/>
                <w:sz w:val="20"/>
                <w:szCs w:val="20"/>
              </w:rPr>
              <w:t>Total Match</w:t>
            </w:r>
          </w:p>
        </w:tc>
      </w:tr>
      <w:tr w:rsidR="00EF3643" w:rsidRPr="00AD4B4F" w14:paraId="6E320C25" w14:textId="77777777" w:rsidTr="00EF3643">
        <w:trPr>
          <w:cantSplit/>
        </w:trPr>
        <w:tc>
          <w:tcPr>
            <w:tcW w:w="1438" w:type="dxa"/>
          </w:tcPr>
          <w:p w14:paraId="2EEE8816" w14:textId="1A8DFE76"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0FE78F09" w14:textId="44F75045"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4166F3FB" w14:textId="35B5B08C"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25AAC85D" w14:textId="5A5E37BC"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23D56C02" w14:textId="0A4B02AF"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4D9D427F" w14:textId="0DF4B50D"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250CDDB3" w14:textId="483F627B"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79A1F484" w14:textId="181C3235" w:rsidR="00EF3643" w:rsidRPr="00AD4B4F" w:rsidRDefault="00EF3643" w:rsidP="00EF3643">
            <w:pPr>
              <w:keepNext/>
              <w:widowControl w:val="0"/>
              <w:spacing w:after="0" w:line="240" w:lineRule="auto"/>
              <w:rPr>
                <w:sz w:val="20"/>
                <w:szCs w:val="20"/>
              </w:rPr>
            </w:pPr>
            <w:r w:rsidRPr="00AD4B4F">
              <w:rPr>
                <w:rFonts w:cs="Arial"/>
              </w:rPr>
              <w:t>N/A Match Exemption</w:t>
            </w:r>
          </w:p>
        </w:tc>
        <w:tc>
          <w:tcPr>
            <w:tcW w:w="1439" w:type="dxa"/>
          </w:tcPr>
          <w:p w14:paraId="552E59A6" w14:textId="5DFA4A10" w:rsidR="00EF3643" w:rsidRPr="00AD4B4F" w:rsidRDefault="00EF3643" w:rsidP="00EF3643">
            <w:pPr>
              <w:keepNext/>
              <w:widowControl w:val="0"/>
              <w:spacing w:after="0" w:line="240" w:lineRule="auto"/>
              <w:rPr>
                <w:sz w:val="20"/>
                <w:szCs w:val="20"/>
              </w:rPr>
            </w:pPr>
            <w:r w:rsidRPr="00AD4B4F">
              <w:rPr>
                <w:rFonts w:cs="Arial"/>
              </w:rPr>
              <w:t>N/A Match Exemption</w:t>
            </w:r>
          </w:p>
        </w:tc>
      </w:tr>
    </w:tbl>
    <w:p w14:paraId="1108D54A" w14:textId="0E6217C1"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6</w:t>
      </w:r>
      <w:r w:rsidRPr="00AD4B4F">
        <w:rPr>
          <w:rFonts w:asciiTheme="minorHAnsi" w:hAnsiTheme="minorHAnsi"/>
        </w:rPr>
        <w:fldChar w:fldCharType="end"/>
      </w:r>
      <w:r w:rsidRPr="00AD4B4F">
        <w:rPr>
          <w:rFonts w:asciiTheme="minorHAnsi" w:hAnsiTheme="minorHAnsi"/>
        </w:rPr>
        <w:t xml:space="preserve"> – Match Contribution for the Federal Fiscal Year</w:t>
      </w:r>
    </w:p>
    <w:p w14:paraId="1AEB3673" w14:textId="77777777" w:rsidR="0023288C" w:rsidRPr="00AD4B4F" w:rsidRDefault="0023288C"/>
    <w:p w14:paraId="4C94A6F4" w14:textId="77777777" w:rsidR="0023288C" w:rsidRPr="00AD4B4F" w:rsidRDefault="00202916">
      <w:pPr>
        <w:widowControl w:val="0"/>
        <w:spacing w:line="204" w:lineRule="auto"/>
        <w:rPr>
          <w:b/>
          <w:sz w:val="24"/>
          <w:szCs w:val="24"/>
        </w:rPr>
      </w:pPr>
      <w:r w:rsidRPr="00AD4B4F">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23288C" w:rsidRPr="00AD4B4F" w14:paraId="0B975269" w14:textId="77777777">
        <w:trPr>
          <w:cantSplit/>
          <w:tblHeader/>
        </w:trPr>
        <w:tc>
          <w:tcPr>
            <w:tcW w:w="13176" w:type="dxa"/>
            <w:gridSpan w:val="5"/>
          </w:tcPr>
          <w:p w14:paraId="7DD5BBEC" w14:textId="77777777" w:rsidR="0023288C" w:rsidRPr="00AD4B4F" w:rsidRDefault="00202916">
            <w:pPr>
              <w:keepNext/>
              <w:widowControl w:val="0"/>
              <w:spacing w:after="0" w:line="240" w:lineRule="auto"/>
              <w:rPr>
                <w:b/>
              </w:rPr>
            </w:pPr>
            <w:r w:rsidRPr="00AD4B4F">
              <w:rPr>
                <w:b/>
              </w:rPr>
              <w:t xml:space="preserve">Program Income </w:t>
            </w:r>
            <w:r w:rsidRPr="00AD4B4F">
              <w:t>– Enter the program amounts for the reporting period</w:t>
            </w:r>
          </w:p>
        </w:tc>
      </w:tr>
      <w:tr w:rsidR="0023288C" w:rsidRPr="00AD4B4F" w14:paraId="54B4751B" w14:textId="77777777">
        <w:trPr>
          <w:cantSplit/>
          <w:tblHeader/>
        </w:trPr>
        <w:tc>
          <w:tcPr>
            <w:tcW w:w="2635" w:type="dxa"/>
          </w:tcPr>
          <w:p w14:paraId="47413B6B" w14:textId="77777777" w:rsidR="0023288C" w:rsidRPr="00AD4B4F" w:rsidRDefault="00202916">
            <w:pPr>
              <w:keepNext/>
              <w:spacing w:after="0" w:line="240" w:lineRule="auto"/>
              <w:jc w:val="center"/>
              <w:rPr>
                <w:b/>
              </w:rPr>
            </w:pPr>
            <w:r w:rsidRPr="00AD4B4F">
              <w:rPr>
                <w:b/>
              </w:rPr>
              <w:t>Balance on hand at begin-ning of reporting period</w:t>
            </w:r>
          </w:p>
          <w:p w14:paraId="2C915755" w14:textId="77777777" w:rsidR="0023288C" w:rsidRPr="00AD4B4F" w:rsidRDefault="00202916">
            <w:pPr>
              <w:keepNext/>
              <w:spacing w:after="0" w:line="240" w:lineRule="auto"/>
              <w:jc w:val="center"/>
              <w:rPr>
                <w:b/>
              </w:rPr>
            </w:pPr>
            <w:r w:rsidRPr="00AD4B4F">
              <w:rPr>
                <w:b/>
              </w:rPr>
              <w:t>$</w:t>
            </w:r>
          </w:p>
        </w:tc>
        <w:tc>
          <w:tcPr>
            <w:tcW w:w="2635" w:type="dxa"/>
          </w:tcPr>
          <w:p w14:paraId="5ED01B17" w14:textId="77777777" w:rsidR="0023288C" w:rsidRPr="00AD4B4F" w:rsidRDefault="00202916">
            <w:pPr>
              <w:keepNext/>
              <w:spacing w:after="0" w:line="240" w:lineRule="auto"/>
              <w:jc w:val="center"/>
              <w:rPr>
                <w:b/>
              </w:rPr>
            </w:pPr>
            <w:r w:rsidRPr="00AD4B4F">
              <w:rPr>
                <w:b/>
              </w:rPr>
              <w:t>Amount received during reporting period</w:t>
            </w:r>
          </w:p>
          <w:p w14:paraId="70AC1892" w14:textId="77777777" w:rsidR="0023288C" w:rsidRPr="00AD4B4F" w:rsidRDefault="00202916">
            <w:pPr>
              <w:keepNext/>
              <w:spacing w:after="0" w:line="240" w:lineRule="auto"/>
              <w:jc w:val="center"/>
              <w:rPr>
                <w:b/>
              </w:rPr>
            </w:pPr>
            <w:r w:rsidRPr="00AD4B4F">
              <w:rPr>
                <w:b/>
              </w:rPr>
              <w:t>$</w:t>
            </w:r>
          </w:p>
        </w:tc>
        <w:tc>
          <w:tcPr>
            <w:tcW w:w="2635" w:type="dxa"/>
          </w:tcPr>
          <w:p w14:paraId="1537835E" w14:textId="77777777" w:rsidR="0023288C" w:rsidRPr="00AD4B4F" w:rsidRDefault="00202916">
            <w:pPr>
              <w:keepNext/>
              <w:spacing w:after="0" w:line="240" w:lineRule="auto"/>
              <w:jc w:val="center"/>
              <w:rPr>
                <w:b/>
              </w:rPr>
            </w:pPr>
            <w:r w:rsidRPr="00AD4B4F">
              <w:rPr>
                <w:b/>
              </w:rPr>
              <w:t>Total amount expended during reporting period</w:t>
            </w:r>
          </w:p>
          <w:p w14:paraId="0DB75709" w14:textId="77777777" w:rsidR="0023288C" w:rsidRPr="00AD4B4F" w:rsidRDefault="00202916">
            <w:pPr>
              <w:keepNext/>
              <w:spacing w:after="0" w:line="240" w:lineRule="auto"/>
              <w:jc w:val="center"/>
              <w:rPr>
                <w:b/>
              </w:rPr>
            </w:pPr>
            <w:r w:rsidRPr="00AD4B4F">
              <w:rPr>
                <w:b/>
              </w:rPr>
              <w:t>$</w:t>
            </w:r>
          </w:p>
        </w:tc>
        <w:tc>
          <w:tcPr>
            <w:tcW w:w="2635" w:type="dxa"/>
          </w:tcPr>
          <w:p w14:paraId="4D92BC5A" w14:textId="77777777" w:rsidR="0023288C" w:rsidRPr="00AD4B4F" w:rsidRDefault="00202916">
            <w:pPr>
              <w:keepNext/>
              <w:spacing w:after="0" w:line="240" w:lineRule="auto"/>
              <w:jc w:val="center"/>
              <w:rPr>
                <w:b/>
              </w:rPr>
            </w:pPr>
            <w:r w:rsidRPr="00AD4B4F">
              <w:rPr>
                <w:b/>
              </w:rPr>
              <w:t>Amount expended for TBRA</w:t>
            </w:r>
          </w:p>
          <w:p w14:paraId="1150987F" w14:textId="77777777" w:rsidR="0023288C" w:rsidRPr="00AD4B4F" w:rsidRDefault="00202916">
            <w:pPr>
              <w:keepNext/>
              <w:spacing w:after="0" w:line="240" w:lineRule="auto"/>
              <w:jc w:val="center"/>
              <w:rPr>
                <w:b/>
              </w:rPr>
            </w:pPr>
            <w:r w:rsidRPr="00AD4B4F">
              <w:rPr>
                <w:b/>
              </w:rPr>
              <w:t>$</w:t>
            </w:r>
          </w:p>
        </w:tc>
        <w:tc>
          <w:tcPr>
            <w:tcW w:w="2636" w:type="dxa"/>
          </w:tcPr>
          <w:p w14:paraId="5BF704C5" w14:textId="77777777" w:rsidR="0023288C" w:rsidRPr="00AD4B4F" w:rsidRDefault="00202916">
            <w:pPr>
              <w:keepNext/>
              <w:spacing w:after="0" w:line="240" w:lineRule="auto"/>
              <w:jc w:val="center"/>
              <w:rPr>
                <w:b/>
              </w:rPr>
            </w:pPr>
            <w:r w:rsidRPr="00AD4B4F">
              <w:rPr>
                <w:b/>
              </w:rPr>
              <w:t>Balance on hand at end of reporting period</w:t>
            </w:r>
          </w:p>
          <w:p w14:paraId="2E7EE218" w14:textId="77777777" w:rsidR="0023288C" w:rsidRPr="00AD4B4F" w:rsidRDefault="00202916">
            <w:pPr>
              <w:keepNext/>
              <w:spacing w:after="0" w:line="240" w:lineRule="auto"/>
              <w:jc w:val="center"/>
              <w:rPr>
                <w:b/>
              </w:rPr>
            </w:pPr>
            <w:r w:rsidRPr="00AD4B4F">
              <w:rPr>
                <w:b/>
              </w:rPr>
              <w:t>$</w:t>
            </w:r>
          </w:p>
        </w:tc>
      </w:tr>
      <w:tr w:rsidR="0023288C" w:rsidRPr="00AD4B4F" w14:paraId="0FDB6BC2" w14:textId="77777777">
        <w:trPr>
          <w:cantSplit/>
        </w:trPr>
        <w:tc>
          <w:tcPr>
            <w:tcW w:w="2635" w:type="dxa"/>
          </w:tcPr>
          <w:p w14:paraId="29FD641A" w14:textId="0C2374B2" w:rsidR="0023288C" w:rsidRPr="00AD4B4F" w:rsidRDefault="00705506">
            <w:pPr>
              <w:keepNext/>
              <w:widowControl w:val="0"/>
              <w:spacing w:after="0" w:line="240" w:lineRule="auto"/>
              <w:rPr>
                <w:b/>
              </w:rPr>
            </w:pPr>
            <w:r>
              <w:rPr>
                <w:b/>
              </w:rPr>
              <w:t>0</w:t>
            </w:r>
          </w:p>
        </w:tc>
        <w:tc>
          <w:tcPr>
            <w:tcW w:w="2635" w:type="dxa"/>
          </w:tcPr>
          <w:p w14:paraId="78F6045F" w14:textId="47407EBF" w:rsidR="0023288C" w:rsidRPr="00AD4B4F" w:rsidRDefault="00705506">
            <w:pPr>
              <w:keepNext/>
              <w:widowControl w:val="0"/>
              <w:spacing w:after="0" w:line="240" w:lineRule="auto"/>
              <w:rPr>
                <w:b/>
              </w:rPr>
            </w:pPr>
            <w:r>
              <w:rPr>
                <w:b/>
              </w:rPr>
              <w:t>0</w:t>
            </w:r>
          </w:p>
        </w:tc>
        <w:tc>
          <w:tcPr>
            <w:tcW w:w="2635" w:type="dxa"/>
          </w:tcPr>
          <w:p w14:paraId="1112A2EE" w14:textId="104B3411" w:rsidR="0023288C" w:rsidRPr="00AD4B4F" w:rsidRDefault="00705506">
            <w:pPr>
              <w:keepNext/>
              <w:widowControl w:val="0"/>
              <w:spacing w:after="0" w:line="240" w:lineRule="auto"/>
              <w:rPr>
                <w:b/>
              </w:rPr>
            </w:pPr>
            <w:r>
              <w:rPr>
                <w:b/>
              </w:rPr>
              <w:t>0</w:t>
            </w:r>
          </w:p>
        </w:tc>
        <w:tc>
          <w:tcPr>
            <w:tcW w:w="2635" w:type="dxa"/>
          </w:tcPr>
          <w:p w14:paraId="13014607" w14:textId="30191903" w:rsidR="0023288C" w:rsidRPr="00AD4B4F" w:rsidRDefault="00705506">
            <w:pPr>
              <w:keepNext/>
              <w:widowControl w:val="0"/>
              <w:spacing w:after="0" w:line="240" w:lineRule="auto"/>
              <w:rPr>
                <w:b/>
              </w:rPr>
            </w:pPr>
            <w:r>
              <w:rPr>
                <w:b/>
              </w:rPr>
              <w:t>0</w:t>
            </w:r>
          </w:p>
        </w:tc>
        <w:tc>
          <w:tcPr>
            <w:tcW w:w="2636" w:type="dxa"/>
          </w:tcPr>
          <w:p w14:paraId="32E82B8C" w14:textId="4DE161B4" w:rsidR="0023288C" w:rsidRPr="00AD4B4F" w:rsidRDefault="00705506">
            <w:pPr>
              <w:keepNext/>
              <w:widowControl w:val="0"/>
              <w:spacing w:after="0" w:line="240" w:lineRule="auto"/>
              <w:rPr>
                <w:b/>
              </w:rPr>
            </w:pPr>
            <w:r>
              <w:rPr>
                <w:b/>
              </w:rPr>
              <w:t>0</w:t>
            </w:r>
          </w:p>
        </w:tc>
      </w:tr>
    </w:tbl>
    <w:p w14:paraId="6FC1B968" w14:textId="01AC3756"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7</w:t>
      </w:r>
      <w:r w:rsidRPr="00AD4B4F">
        <w:rPr>
          <w:rFonts w:asciiTheme="minorHAnsi" w:hAnsiTheme="minorHAnsi"/>
        </w:rPr>
        <w:fldChar w:fldCharType="end"/>
      </w:r>
      <w:r w:rsidRPr="00AD4B4F">
        <w:rPr>
          <w:rFonts w:asciiTheme="minorHAnsi" w:hAnsiTheme="minorHAnsi"/>
        </w:rPr>
        <w:t xml:space="preserve"> – Program Income</w:t>
      </w:r>
    </w:p>
    <w:p w14:paraId="75F2B301" w14:textId="77777777" w:rsidR="0023288C" w:rsidRPr="00AD4B4F" w:rsidRDefault="0023288C">
      <w:pPr>
        <w:widowControl w:val="0"/>
        <w:spacing w:after="0" w:line="240" w:lineRule="auto"/>
        <w:rPr>
          <w:b/>
          <w:sz w:val="20"/>
          <w:szCs w:val="20"/>
        </w:rPr>
      </w:pPr>
    </w:p>
    <w:p w14:paraId="7ACA20AD" w14:textId="77777777" w:rsidR="0023288C" w:rsidRPr="00AD4B4F" w:rsidRDefault="0023288C">
      <w:pPr>
        <w:widowControl w:val="0"/>
        <w:spacing w:after="0" w:line="240" w:lineRule="auto"/>
        <w:jc w:val="center"/>
        <w:rPr>
          <w:b/>
          <w:sz w:val="20"/>
          <w:szCs w:val="20"/>
        </w:rPr>
        <w:sectPr w:rsidR="0023288C" w:rsidRPr="00AD4B4F">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288C" w:rsidRPr="00AD4B4F" w14:paraId="3F191B79" w14:textId="77777777">
        <w:tc>
          <w:tcPr>
            <w:tcW w:w="9576" w:type="dxa"/>
          </w:tcPr>
          <w:p w14:paraId="37547BAB" w14:textId="77777777" w:rsidR="0023288C" w:rsidRPr="00AD4B4F" w:rsidRDefault="00202916">
            <w:pPr>
              <w:keepNext/>
              <w:widowControl w:val="0"/>
              <w:spacing w:after="0" w:line="240" w:lineRule="auto"/>
              <w:rPr>
                <w:b/>
              </w:rPr>
            </w:pPr>
            <w:r w:rsidRPr="00AD4B4F">
              <w:rPr>
                <w:b/>
              </w:rPr>
              <w:lastRenderedPageBreak/>
              <w:t xml:space="preserve">Minority Business Enterprises and Women Business Enterprises – </w:t>
            </w:r>
            <w:r w:rsidRPr="00AD4B4F">
              <w:t>Indicate the number and dollar value of contracts for HOME projects completed during the reporting period</w:t>
            </w:r>
          </w:p>
        </w:tc>
      </w:tr>
    </w:tbl>
    <w:p w14:paraId="413FCE51" w14:textId="77777777" w:rsidR="0023288C" w:rsidRPr="00AD4B4F" w:rsidRDefault="0023288C">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3288C" w:rsidRPr="00AD4B4F" w14:paraId="0BC6CC78" w14:textId="77777777">
        <w:trPr>
          <w:cantSplit/>
        </w:trPr>
        <w:tc>
          <w:tcPr>
            <w:tcW w:w="1368" w:type="dxa"/>
            <w:vMerge w:val="restart"/>
          </w:tcPr>
          <w:p w14:paraId="47DADFB4" w14:textId="77777777" w:rsidR="0023288C" w:rsidRPr="00AD4B4F" w:rsidRDefault="0023288C">
            <w:pPr>
              <w:keepNext/>
              <w:widowControl w:val="0"/>
              <w:spacing w:after="0" w:line="240" w:lineRule="auto"/>
              <w:rPr>
                <w:b/>
              </w:rPr>
            </w:pPr>
          </w:p>
        </w:tc>
        <w:tc>
          <w:tcPr>
            <w:tcW w:w="1368" w:type="dxa"/>
            <w:vMerge w:val="restart"/>
          </w:tcPr>
          <w:p w14:paraId="32C4D3E8" w14:textId="77777777" w:rsidR="0023288C" w:rsidRPr="00AD4B4F" w:rsidRDefault="00202916">
            <w:pPr>
              <w:keepNext/>
              <w:widowControl w:val="0"/>
              <w:spacing w:after="0" w:line="240" w:lineRule="auto"/>
              <w:jc w:val="center"/>
              <w:rPr>
                <w:b/>
              </w:rPr>
            </w:pPr>
            <w:r w:rsidRPr="00AD4B4F">
              <w:rPr>
                <w:b/>
              </w:rPr>
              <w:t>Total</w:t>
            </w:r>
          </w:p>
        </w:tc>
        <w:tc>
          <w:tcPr>
            <w:tcW w:w="5472" w:type="dxa"/>
            <w:gridSpan w:val="4"/>
          </w:tcPr>
          <w:p w14:paraId="44024B1D" w14:textId="77777777" w:rsidR="0023288C" w:rsidRPr="00AD4B4F" w:rsidRDefault="00202916">
            <w:pPr>
              <w:keepNext/>
              <w:widowControl w:val="0"/>
              <w:spacing w:after="0" w:line="240" w:lineRule="auto"/>
              <w:jc w:val="center"/>
              <w:rPr>
                <w:b/>
              </w:rPr>
            </w:pPr>
            <w:r w:rsidRPr="00AD4B4F">
              <w:rPr>
                <w:b/>
              </w:rPr>
              <w:t>Minority Business Enterprises</w:t>
            </w:r>
          </w:p>
        </w:tc>
        <w:tc>
          <w:tcPr>
            <w:tcW w:w="1368" w:type="dxa"/>
            <w:vMerge w:val="restart"/>
          </w:tcPr>
          <w:p w14:paraId="27087D97" w14:textId="77777777" w:rsidR="0023288C" w:rsidRPr="00AD4B4F" w:rsidRDefault="00202916">
            <w:pPr>
              <w:keepNext/>
              <w:widowControl w:val="0"/>
              <w:spacing w:after="0" w:line="240" w:lineRule="auto"/>
              <w:jc w:val="center"/>
              <w:rPr>
                <w:b/>
              </w:rPr>
            </w:pPr>
            <w:r w:rsidRPr="00AD4B4F">
              <w:rPr>
                <w:b/>
              </w:rPr>
              <w:t>White Non-Hispanic</w:t>
            </w:r>
          </w:p>
        </w:tc>
      </w:tr>
      <w:tr w:rsidR="0023288C" w:rsidRPr="00AD4B4F" w14:paraId="5FEE323E" w14:textId="77777777">
        <w:trPr>
          <w:cantSplit/>
        </w:trPr>
        <w:tc>
          <w:tcPr>
            <w:tcW w:w="1368" w:type="dxa"/>
            <w:vMerge/>
          </w:tcPr>
          <w:p w14:paraId="649EDD6D" w14:textId="77777777" w:rsidR="0023288C" w:rsidRPr="00AD4B4F" w:rsidRDefault="0023288C">
            <w:pPr>
              <w:keepNext/>
              <w:widowControl w:val="0"/>
              <w:spacing w:after="0" w:line="240" w:lineRule="auto"/>
              <w:rPr>
                <w:b/>
              </w:rPr>
            </w:pPr>
          </w:p>
        </w:tc>
        <w:tc>
          <w:tcPr>
            <w:tcW w:w="1368" w:type="dxa"/>
            <w:vMerge/>
          </w:tcPr>
          <w:p w14:paraId="3DA18387" w14:textId="77777777" w:rsidR="0023288C" w:rsidRPr="00AD4B4F" w:rsidRDefault="0023288C">
            <w:pPr>
              <w:keepNext/>
              <w:widowControl w:val="0"/>
              <w:spacing w:after="0" w:line="240" w:lineRule="auto"/>
              <w:rPr>
                <w:b/>
              </w:rPr>
            </w:pPr>
          </w:p>
        </w:tc>
        <w:tc>
          <w:tcPr>
            <w:tcW w:w="1368" w:type="dxa"/>
          </w:tcPr>
          <w:p w14:paraId="783F9F37" w14:textId="77777777" w:rsidR="0023288C" w:rsidRPr="00AD4B4F" w:rsidRDefault="00202916">
            <w:pPr>
              <w:keepNext/>
              <w:spacing w:after="0" w:line="240" w:lineRule="auto"/>
              <w:jc w:val="center"/>
              <w:rPr>
                <w:b/>
              </w:rPr>
            </w:pPr>
            <w:r w:rsidRPr="00AD4B4F">
              <w:rPr>
                <w:b/>
              </w:rPr>
              <w:t>Alaskan Native or American Indian</w:t>
            </w:r>
          </w:p>
        </w:tc>
        <w:tc>
          <w:tcPr>
            <w:tcW w:w="1368" w:type="dxa"/>
          </w:tcPr>
          <w:p w14:paraId="3BCC04A1" w14:textId="77777777" w:rsidR="0023288C" w:rsidRPr="00AD4B4F" w:rsidRDefault="00202916">
            <w:pPr>
              <w:keepNext/>
              <w:widowControl w:val="0"/>
              <w:spacing w:after="0" w:line="240" w:lineRule="auto"/>
              <w:jc w:val="center"/>
              <w:rPr>
                <w:b/>
              </w:rPr>
            </w:pPr>
            <w:r w:rsidRPr="00AD4B4F">
              <w:rPr>
                <w:b/>
              </w:rPr>
              <w:t>Asian or Pacific Islander</w:t>
            </w:r>
          </w:p>
        </w:tc>
        <w:tc>
          <w:tcPr>
            <w:tcW w:w="1368" w:type="dxa"/>
          </w:tcPr>
          <w:p w14:paraId="1CDA73E0" w14:textId="77777777" w:rsidR="0023288C" w:rsidRPr="00AD4B4F" w:rsidRDefault="00202916">
            <w:pPr>
              <w:keepNext/>
              <w:widowControl w:val="0"/>
              <w:spacing w:after="0" w:line="240" w:lineRule="auto"/>
              <w:jc w:val="center"/>
              <w:rPr>
                <w:b/>
              </w:rPr>
            </w:pPr>
            <w:r w:rsidRPr="00AD4B4F">
              <w:rPr>
                <w:b/>
              </w:rPr>
              <w:t>Black Non-Hispanic</w:t>
            </w:r>
          </w:p>
        </w:tc>
        <w:tc>
          <w:tcPr>
            <w:tcW w:w="1368" w:type="dxa"/>
          </w:tcPr>
          <w:p w14:paraId="039C149F" w14:textId="77777777" w:rsidR="0023288C" w:rsidRPr="00AD4B4F" w:rsidRDefault="00202916">
            <w:pPr>
              <w:keepNext/>
              <w:widowControl w:val="0"/>
              <w:spacing w:after="0" w:line="240" w:lineRule="auto"/>
              <w:jc w:val="center"/>
              <w:rPr>
                <w:b/>
              </w:rPr>
            </w:pPr>
            <w:r w:rsidRPr="00AD4B4F">
              <w:rPr>
                <w:b/>
              </w:rPr>
              <w:t>Hispanic</w:t>
            </w:r>
          </w:p>
        </w:tc>
        <w:tc>
          <w:tcPr>
            <w:tcW w:w="1368" w:type="dxa"/>
            <w:vMerge/>
          </w:tcPr>
          <w:p w14:paraId="15CFCCBD" w14:textId="77777777" w:rsidR="0023288C" w:rsidRPr="00AD4B4F" w:rsidRDefault="0023288C">
            <w:pPr>
              <w:keepNext/>
              <w:widowControl w:val="0"/>
              <w:spacing w:after="0" w:line="240" w:lineRule="auto"/>
              <w:jc w:val="center"/>
              <w:rPr>
                <w:b/>
              </w:rPr>
            </w:pPr>
          </w:p>
        </w:tc>
      </w:tr>
    </w:tbl>
    <w:p w14:paraId="500A6E95" w14:textId="77777777" w:rsidR="0023288C" w:rsidRPr="00AD4B4F" w:rsidRDefault="0023288C">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3288C" w:rsidRPr="00AD4B4F" w14:paraId="4C6F99E1" w14:textId="77777777">
        <w:trPr>
          <w:cantSplit/>
        </w:trPr>
        <w:tc>
          <w:tcPr>
            <w:tcW w:w="9576" w:type="dxa"/>
            <w:gridSpan w:val="7"/>
          </w:tcPr>
          <w:p w14:paraId="3B411FD9" w14:textId="77777777" w:rsidR="0023288C" w:rsidRPr="00AD4B4F" w:rsidRDefault="00202916">
            <w:pPr>
              <w:keepNext/>
              <w:widowControl w:val="0"/>
              <w:spacing w:after="0" w:line="240" w:lineRule="auto"/>
              <w:rPr>
                <w:b/>
              </w:rPr>
            </w:pPr>
            <w:r w:rsidRPr="00AD4B4F">
              <w:rPr>
                <w:b/>
              </w:rPr>
              <w:t>Contracts</w:t>
            </w:r>
          </w:p>
        </w:tc>
      </w:tr>
      <w:tr w:rsidR="0023288C" w:rsidRPr="00AD4B4F" w14:paraId="22BE50E6" w14:textId="77777777">
        <w:trPr>
          <w:cantSplit/>
          <w:hidden/>
        </w:trPr>
        <w:tc>
          <w:tcPr>
            <w:tcW w:w="1368" w:type="dxa"/>
          </w:tcPr>
          <w:p w14:paraId="706F229A" w14:textId="77777777" w:rsidR="0023288C" w:rsidRPr="00AD4B4F" w:rsidRDefault="0023288C">
            <w:pPr>
              <w:keepNext/>
              <w:widowControl w:val="0"/>
              <w:spacing w:after="0" w:line="240" w:lineRule="auto"/>
              <w:rPr>
                <w:b/>
                <w:vanish/>
              </w:rPr>
            </w:pPr>
          </w:p>
        </w:tc>
        <w:tc>
          <w:tcPr>
            <w:tcW w:w="1368" w:type="dxa"/>
          </w:tcPr>
          <w:p w14:paraId="728F744A" w14:textId="77777777" w:rsidR="0023288C" w:rsidRPr="00AD4B4F" w:rsidRDefault="0023288C">
            <w:pPr>
              <w:keepNext/>
              <w:widowControl w:val="0"/>
              <w:spacing w:after="0" w:line="240" w:lineRule="auto"/>
              <w:rPr>
                <w:b/>
                <w:vanish/>
              </w:rPr>
            </w:pPr>
          </w:p>
        </w:tc>
        <w:tc>
          <w:tcPr>
            <w:tcW w:w="1368" w:type="dxa"/>
          </w:tcPr>
          <w:p w14:paraId="046D2EF3" w14:textId="77777777" w:rsidR="0023288C" w:rsidRPr="00AD4B4F" w:rsidRDefault="0023288C">
            <w:pPr>
              <w:keepNext/>
              <w:widowControl w:val="0"/>
              <w:spacing w:after="0" w:line="240" w:lineRule="auto"/>
              <w:rPr>
                <w:b/>
                <w:vanish/>
              </w:rPr>
            </w:pPr>
          </w:p>
        </w:tc>
        <w:tc>
          <w:tcPr>
            <w:tcW w:w="1368" w:type="dxa"/>
          </w:tcPr>
          <w:p w14:paraId="6BAEE1B0" w14:textId="77777777" w:rsidR="0023288C" w:rsidRPr="00AD4B4F" w:rsidRDefault="0023288C">
            <w:pPr>
              <w:keepNext/>
              <w:widowControl w:val="0"/>
              <w:spacing w:after="0" w:line="240" w:lineRule="auto"/>
              <w:rPr>
                <w:b/>
                <w:vanish/>
              </w:rPr>
            </w:pPr>
          </w:p>
        </w:tc>
        <w:tc>
          <w:tcPr>
            <w:tcW w:w="1368" w:type="dxa"/>
          </w:tcPr>
          <w:p w14:paraId="2F150CBB" w14:textId="77777777" w:rsidR="0023288C" w:rsidRPr="00AD4B4F" w:rsidRDefault="0023288C">
            <w:pPr>
              <w:keepNext/>
              <w:widowControl w:val="0"/>
              <w:spacing w:after="0" w:line="240" w:lineRule="auto"/>
              <w:rPr>
                <w:b/>
                <w:vanish/>
              </w:rPr>
            </w:pPr>
          </w:p>
        </w:tc>
        <w:tc>
          <w:tcPr>
            <w:tcW w:w="1368" w:type="dxa"/>
          </w:tcPr>
          <w:p w14:paraId="55963C12" w14:textId="77777777" w:rsidR="0023288C" w:rsidRPr="00AD4B4F" w:rsidRDefault="0023288C">
            <w:pPr>
              <w:keepNext/>
              <w:widowControl w:val="0"/>
              <w:spacing w:after="0" w:line="240" w:lineRule="auto"/>
              <w:rPr>
                <w:b/>
                <w:vanish/>
              </w:rPr>
            </w:pPr>
          </w:p>
        </w:tc>
        <w:tc>
          <w:tcPr>
            <w:tcW w:w="1368" w:type="dxa"/>
          </w:tcPr>
          <w:p w14:paraId="7F8B6C15" w14:textId="77777777" w:rsidR="0023288C" w:rsidRPr="00AD4B4F" w:rsidRDefault="0023288C">
            <w:pPr>
              <w:keepNext/>
              <w:widowControl w:val="0"/>
              <w:spacing w:after="0" w:line="240" w:lineRule="auto"/>
              <w:rPr>
                <w:b/>
                <w:vanish/>
              </w:rPr>
            </w:pPr>
          </w:p>
        </w:tc>
      </w:tr>
      <w:tr w:rsidR="0023288C" w:rsidRPr="00AD4B4F" w14:paraId="080CA95E" w14:textId="77777777">
        <w:trPr>
          <w:cantSplit/>
        </w:trPr>
        <w:tc>
          <w:tcPr>
            <w:tcW w:w="1368" w:type="dxa"/>
          </w:tcPr>
          <w:p w14:paraId="7A32575A" w14:textId="77777777" w:rsidR="0023288C" w:rsidRPr="00AD4B4F" w:rsidRDefault="00202916">
            <w:pPr>
              <w:keepNext/>
              <w:widowControl w:val="0"/>
              <w:spacing w:after="0" w:line="240" w:lineRule="auto"/>
            </w:pPr>
            <w:r w:rsidRPr="00AD4B4F">
              <w:t>Number</w:t>
            </w:r>
          </w:p>
        </w:tc>
        <w:tc>
          <w:tcPr>
            <w:tcW w:w="1368" w:type="dxa"/>
          </w:tcPr>
          <w:p w14:paraId="784E02B1" w14:textId="344D0DD2" w:rsidR="0023288C" w:rsidRPr="00AD4B4F" w:rsidRDefault="00D146F6">
            <w:pPr>
              <w:keepNext/>
              <w:widowControl w:val="0"/>
              <w:spacing w:after="0" w:line="240" w:lineRule="auto"/>
            </w:pPr>
            <w:r w:rsidRPr="00AD4B4F">
              <w:t>0</w:t>
            </w:r>
          </w:p>
        </w:tc>
        <w:tc>
          <w:tcPr>
            <w:tcW w:w="1368" w:type="dxa"/>
          </w:tcPr>
          <w:p w14:paraId="63CA28D3" w14:textId="0B180A9B" w:rsidR="0023288C" w:rsidRPr="00AD4B4F" w:rsidRDefault="00D146F6">
            <w:pPr>
              <w:keepNext/>
              <w:widowControl w:val="0"/>
              <w:spacing w:after="0" w:line="240" w:lineRule="auto"/>
            </w:pPr>
            <w:r w:rsidRPr="00AD4B4F">
              <w:t>0</w:t>
            </w:r>
          </w:p>
        </w:tc>
        <w:tc>
          <w:tcPr>
            <w:tcW w:w="1368" w:type="dxa"/>
          </w:tcPr>
          <w:p w14:paraId="5D8D0F7A" w14:textId="345BA391" w:rsidR="0023288C" w:rsidRPr="00AD4B4F" w:rsidRDefault="00D146F6">
            <w:pPr>
              <w:keepNext/>
              <w:widowControl w:val="0"/>
              <w:spacing w:after="0" w:line="240" w:lineRule="auto"/>
            </w:pPr>
            <w:r w:rsidRPr="00AD4B4F">
              <w:t>0</w:t>
            </w:r>
          </w:p>
        </w:tc>
        <w:tc>
          <w:tcPr>
            <w:tcW w:w="1368" w:type="dxa"/>
          </w:tcPr>
          <w:p w14:paraId="07979995" w14:textId="3A9EC18D" w:rsidR="0023288C" w:rsidRPr="00AD4B4F" w:rsidRDefault="00D146F6">
            <w:pPr>
              <w:keepNext/>
              <w:widowControl w:val="0"/>
              <w:spacing w:after="0" w:line="240" w:lineRule="auto"/>
            </w:pPr>
            <w:r w:rsidRPr="00AD4B4F">
              <w:t>0</w:t>
            </w:r>
          </w:p>
        </w:tc>
        <w:tc>
          <w:tcPr>
            <w:tcW w:w="1368" w:type="dxa"/>
          </w:tcPr>
          <w:p w14:paraId="5DEBAFEF" w14:textId="777409D2" w:rsidR="0023288C" w:rsidRPr="00AD4B4F" w:rsidRDefault="00D146F6">
            <w:pPr>
              <w:keepNext/>
              <w:widowControl w:val="0"/>
              <w:spacing w:after="0" w:line="240" w:lineRule="auto"/>
            </w:pPr>
            <w:r w:rsidRPr="00AD4B4F">
              <w:t>0</w:t>
            </w:r>
          </w:p>
        </w:tc>
        <w:tc>
          <w:tcPr>
            <w:tcW w:w="1368" w:type="dxa"/>
          </w:tcPr>
          <w:p w14:paraId="35C9569E" w14:textId="39A9C80F" w:rsidR="0023288C" w:rsidRPr="00AD4B4F" w:rsidRDefault="00D146F6">
            <w:pPr>
              <w:keepNext/>
              <w:widowControl w:val="0"/>
              <w:spacing w:after="0" w:line="240" w:lineRule="auto"/>
            </w:pPr>
            <w:r w:rsidRPr="00AD4B4F">
              <w:t>0</w:t>
            </w:r>
          </w:p>
        </w:tc>
      </w:tr>
      <w:tr w:rsidR="0023288C" w:rsidRPr="00AD4B4F" w14:paraId="52B55AFF" w14:textId="77777777">
        <w:trPr>
          <w:cantSplit/>
        </w:trPr>
        <w:tc>
          <w:tcPr>
            <w:tcW w:w="1368" w:type="dxa"/>
          </w:tcPr>
          <w:p w14:paraId="68CA36F0" w14:textId="77777777" w:rsidR="0023288C" w:rsidRPr="00AD4B4F" w:rsidRDefault="00202916">
            <w:pPr>
              <w:keepNext/>
              <w:widowControl w:val="0"/>
              <w:spacing w:after="0" w:line="240" w:lineRule="auto"/>
            </w:pPr>
            <w:r w:rsidRPr="00AD4B4F">
              <w:t>Dollar Amount</w:t>
            </w:r>
          </w:p>
        </w:tc>
        <w:tc>
          <w:tcPr>
            <w:tcW w:w="1368" w:type="dxa"/>
          </w:tcPr>
          <w:p w14:paraId="30AA9371" w14:textId="416CAA36" w:rsidR="0023288C" w:rsidRPr="00AD4B4F" w:rsidRDefault="00D146F6">
            <w:pPr>
              <w:keepNext/>
              <w:widowControl w:val="0"/>
              <w:spacing w:after="0" w:line="240" w:lineRule="auto"/>
            </w:pPr>
            <w:r w:rsidRPr="00AD4B4F">
              <w:t>0</w:t>
            </w:r>
          </w:p>
        </w:tc>
        <w:tc>
          <w:tcPr>
            <w:tcW w:w="1368" w:type="dxa"/>
          </w:tcPr>
          <w:p w14:paraId="1AE7325D" w14:textId="00CAAD64" w:rsidR="0023288C" w:rsidRPr="00AD4B4F" w:rsidRDefault="00D146F6">
            <w:pPr>
              <w:keepNext/>
              <w:widowControl w:val="0"/>
              <w:spacing w:after="0" w:line="240" w:lineRule="auto"/>
            </w:pPr>
            <w:r w:rsidRPr="00AD4B4F">
              <w:t>0</w:t>
            </w:r>
          </w:p>
        </w:tc>
        <w:tc>
          <w:tcPr>
            <w:tcW w:w="1368" w:type="dxa"/>
          </w:tcPr>
          <w:p w14:paraId="3283EB3C" w14:textId="7A6A8BA6" w:rsidR="0023288C" w:rsidRPr="00AD4B4F" w:rsidRDefault="00D146F6">
            <w:pPr>
              <w:keepNext/>
              <w:widowControl w:val="0"/>
              <w:spacing w:after="0" w:line="240" w:lineRule="auto"/>
            </w:pPr>
            <w:r w:rsidRPr="00AD4B4F">
              <w:t>0</w:t>
            </w:r>
          </w:p>
        </w:tc>
        <w:tc>
          <w:tcPr>
            <w:tcW w:w="1368" w:type="dxa"/>
          </w:tcPr>
          <w:p w14:paraId="09E42149" w14:textId="647C5398" w:rsidR="0023288C" w:rsidRPr="00AD4B4F" w:rsidRDefault="00D146F6">
            <w:pPr>
              <w:keepNext/>
              <w:widowControl w:val="0"/>
              <w:spacing w:after="0" w:line="240" w:lineRule="auto"/>
            </w:pPr>
            <w:r w:rsidRPr="00AD4B4F">
              <w:t>0</w:t>
            </w:r>
          </w:p>
        </w:tc>
        <w:tc>
          <w:tcPr>
            <w:tcW w:w="1368" w:type="dxa"/>
          </w:tcPr>
          <w:p w14:paraId="0FDDA1BF" w14:textId="109FD001" w:rsidR="0023288C" w:rsidRPr="00AD4B4F" w:rsidRDefault="00D146F6">
            <w:pPr>
              <w:keepNext/>
              <w:widowControl w:val="0"/>
              <w:spacing w:after="0" w:line="240" w:lineRule="auto"/>
            </w:pPr>
            <w:r w:rsidRPr="00AD4B4F">
              <w:t>0</w:t>
            </w:r>
          </w:p>
        </w:tc>
        <w:tc>
          <w:tcPr>
            <w:tcW w:w="1368" w:type="dxa"/>
          </w:tcPr>
          <w:p w14:paraId="4492E704" w14:textId="5DFB6B69" w:rsidR="0023288C" w:rsidRPr="00AD4B4F" w:rsidRDefault="00D146F6">
            <w:pPr>
              <w:keepNext/>
              <w:widowControl w:val="0"/>
              <w:spacing w:after="0" w:line="240" w:lineRule="auto"/>
            </w:pPr>
            <w:r w:rsidRPr="00AD4B4F">
              <w:t>0</w:t>
            </w:r>
          </w:p>
        </w:tc>
      </w:tr>
    </w:tbl>
    <w:p w14:paraId="1270BA9D" w14:textId="77777777" w:rsidR="0023288C" w:rsidRPr="00AD4B4F" w:rsidRDefault="0023288C">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3288C" w:rsidRPr="00AD4B4F" w14:paraId="5015E225" w14:textId="77777777">
        <w:trPr>
          <w:cantSplit/>
        </w:trPr>
        <w:tc>
          <w:tcPr>
            <w:tcW w:w="9576" w:type="dxa"/>
            <w:gridSpan w:val="7"/>
          </w:tcPr>
          <w:p w14:paraId="09B3C193" w14:textId="77777777" w:rsidR="0023288C" w:rsidRPr="00AD4B4F" w:rsidRDefault="00202916">
            <w:pPr>
              <w:keepNext/>
              <w:widowControl w:val="0"/>
              <w:spacing w:after="0" w:line="240" w:lineRule="auto"/>
              <w:rPr>
                <w:b/>
              </w:rPr>
            </w:pPr>
            <w:r w:rsidRPr="00AD4B4F">
              <w:rPr>
                <w:b/>
              </w:rPr>
              <w:t>Sub-Contracts</w:t>
            </w:r>
          </w:p>
        </w:tc>
      </w:tr>
      <w:tr w:rsidR="0023288C" w:rsidRPr="00AD4B4F" w14:paraId="20A9F80C" w14:textId="77777777">
        <w:trPr>
          <w:cantSplit/>
          <w:hidden/>
        </w:trPr>
        <w:tc>
          <w:tcPr>
            <w:tcW w:w="1368" w:type="dxa"/>
          </w:tcPr>
          <w:p w14:paraId="729172B1" w14:textId="77777777" w:rsidR="0023288C" w:rsidRPr="00AD4B4F" w:rsidRDefault="0023288C">
            <w:pPr>
              <w:keepNext/>
              <w:widowControl w:val="0"/>
              <w:spacing w:after="0" w:line="240" w:lineRule="auto"/>
              <w:rPr>
                <w:b/>
                <w:vanish/>
              </w:rPr>
            </w:pPr>
          </w:p>
        </w:tc>
        <w:tc>
          <w:tcPr>
            <w:tcW w:w="1368" w:type="dxa"/>
          </w:tcPr>
          <w:p w14:paraId="50E9D48E" w14:textId="77777777" w:rsidR="0023288C" w:rsidRPr="00AD4B4F" w:rsidRDefault="0023288C">
            <w:pPr>
              <w:keepNext/>
              <w:widowControl w:val="0"/>
              <w:spacing w:after="0" w:line="240" w:lineRule="auto"/>
              <w:rPr>
                <w:b/>
                <w:vanish/>
              </w:rPr>
            </w:pPr>
          </w:p>
        </w:tc>
        <w:tc>
          <w:tcPr>
            <w:tcW w:w="1368" w:type="dxa"/>
          </w:tcPr>
          <w:p w14:paraId="358C26ED" w14:textId="77777777" w:rsidR="0023288C" w:rsidRPr="00AD4B4F" w:rsidRDefault="0023288C">
            <w:pPr>
              <w:keepNext/>
              <w:widowControl w:val="0"/>
              <w:spacing w:after="0" w:line="240" w:lineRule="auto"/>
              <w:rPr>
                <w:b/>
                <w:vanish/>
              </w:rPr>
            </w:pPr>
          </w:p>
        </w:tc>
        <w:tc>
          <w:tcPr>
            <w:tcW w:w="1368" w:type="dxa"/>
          </w:tcPr>
          <w:p w14:paraId="5CBE15AE" w14:textId="77777777" w:rsidR="0023288C" w:rsidRPr="00AD4B4F" w:rsidRDefault="0023288C">
            <w:pPr>
              <w:keepNext/>
              <w:widowControl w:val="0"/>
              <w:spacing w:after="0" w:line="240" w:lineRule="auto"/>
              <w:rPr>
                <w:b/>
                <w:vanish/>
              </w:rPr>
            </w:pPr>
          </w:p>
        </w:tc>
        <w:tc>
          <w:tcPr>
            <w:tcW w:w="1368" w:type="dxa"/>
          </w:tcPr>
          <w:p w14:paraId="0352AE46" w14:textId="77777777" w:rsidR="0023288C" w:rsidRPr="00AD4B4F" w:rsidRDefault="0023288C">
            <w:pPr>
              <w:keepNext/>
              <w:widowControl w:val="0"/>
              <w:spacing w:after="0" w:line="240" w:lineRule="auto"/>
              <w:rPr>
                <w:b/>
                <w:vanish/>
              </w:rPr>
            </w:pPr>
          </w:p>
        </w:tc>
        <w:tc>
          <w:tcPr>
            <w:tcW w:w="1368" w:type="dxa"/>
          </w:tcPr>
          <w:p w14:paraId="15F462CA" w14:textId="77777777" w:rsidR="0023288C" w:rsidRPr="00AD4B4F" w:rsidRDefault="0023288C">
            <w:pPr>
              <w:keepNext/>
              <w:widowControl w:val="0"/>
              <w:spacing w:after="0" w:line="240" w:lineRule="auto"/>
              <w:rPr>
                <w:b/>
                <w:vanish/>
              </w:rPr>
            </w:pPr>
          </w:p>
        </w:tc>
        <w:tc>
          <w:tcPr>
            <w:tcW w:w="1368" w:type="dxa"/>
          </w:tcPr>
          <w:p w14:paraId="5B7E8B11" w14:textId="77777777" w:rsidR="0023288C" w:rsidRPr="00AD4B4F" w:rsidRDefault="0023288C">
            <w:pPr>
              <w:keepNext/>
              <w:widowControl w:val="0"/>
              <w:spacing w:after="0" w:line="240" w:lineRule="auto"/>
              <w:rPr>
                <w:b/>
                <w:vanish/>
              </w:rPr>
            </w:pPr>
          </w:p>
        </w:tc>
      </w:tr>
      <w:tr w:rsidR="0023288C" w:rsidRPr="00AD4B4F" w14:paraId="1BFB7CCB" w14:textId="77777777">
        <w:trPr>
          <w:cantSplit/>
        </w:trPr>
        <w:tc>
          <w:tcPr>
            <w:tcW w:w="1368" w:type="dxa"/>
          </w:tcPr>
          <w:p w14:paraId="339DBB47" w14:textId="77777777" w:rsidR="0023288C" w:rsidRPr="00AD4B4F" w:rsidRDefault="00202916">
            <w:pPr>
              <w:keepNext/>
              <w:widowControl w:val="0"/>
              <w:spacing w:after="0" w:line="240" w:lineRule="auto"/>
            </w:pPr>
            <w:r w:rsidRPr="00AD4B4F">
              <w:t>Number</w:t>
            </w:r>
          </w:p>
        </w:tc>
        <w:tc>
          <w:tcPr>
            <w:tcW w:w="1368" w:type="dxa"/>
          </w:tcPr>
          <w:p w14:paraId="4526613E" w14:textId="1163662C" w:rsidR="0023288C" w:rsidRPr="00AD4B4F" w:rsidRDefault="00D146F6">
            <w:pPr>
              <w:keepNext/>
              <w:widowControl w:val="0"/>
              <w:spacing w:after="0" w:line="240" w:lineRule="auto"/>
            </w:pPr>
            <w:r w:rsidRPr="00AD4B4F">
              <w:t>0</w:t>
            </w:r>
          </w:p>
        </w:tc>
        <w:tc>
          <w:tcPr>
            <w:tcW w:w="1368" w:type="dxa"/>
          </w:tcPr>
          <w:p w14:paraId="6C6D682E" w14:textId="2D5354F7" w:rsidR="0023288C" w:rsidRPr="00AD4B4F" w:rsidRDefault="00D146F6">
            <w:pPr>
              <w:keepNext/>
              <w:widowControl w:val="0"/>
              <w:spacing w:after="0" w:line="240" w:lineRule="auto"/>
            </w:pPr>
            <w:r w:rsidRPr="00AD4B4F">
              <w:t>0</w:t>
            </w:r>
          </w:p>
        </w:tc>
        <w:tc>
          <w:tcPr>
            <w:tcW w:w="1368" w:type="dxa"/>
          </w:tcPr>
          <w:p w14:paraId="3C4292B0" w14:textId="70EF5D4C" w:rsidR="0023288C" w:rsidRPr="00AD4B4F" w:rsidRDefault="00D146F6">
            <w:pPr>
              <w:keepNext/>
              <w:widowControl w:val="0"/>
              <w:spacing w:after="0" w:line="240" w:lineRule="auto"/>
            </w:pPr>
            <w:r w:rsidRPr="00AD4B4F">
              <w:t>0</w:t>
            </w:r>
          </w:p>
        </w:tc>
        <w:tc>
          <w:tcPr>
            <w:tcW w:w="1368" w:type="dxa"/>
          </w:tcPr>
          <w:p w14:paraId="61024C04" w14:textId="29DB1716" w:rsidR="0023288C" w:rsidRPr="00AD4B4F" w:rsidRDefault="00D146F6">
            <w:pPr>
              <w:keepNext/>
              <w:widowControl w:val="0"/>
              <w:spacing w:after="0" w:line="240" w:lineRule="auto"/>
            </w:pPr>
            <w:r w:rsidRPr="00AD4B4F">
              <w:t>0</w:t>
            </w:r>
          </w:p>
        </w:tc>
        <w:tc>
          <w:tcPr>
            <w:tcW w:w="1368" w:type="dxa"/>
          </w:tcPr>
          <w:p w14:paraId="302B2CBE" w14:textId="55115ED0" w:rsidR="0023288C" w:rsidRPr="00AD4B4F" w:rsidRDefault="00D146F6">
            <w:pPr>
              <w:keepNext/>
              <w:widowControl w:val="0"/>
              <w:spacing w:after="0" w:line="240" w:lineRule="auto"/>
            </w:pPr>
            <w:r w:rsidRPr="00AD4B4F">
              <w:t>0</w:t>
            </w:r>
          </w:p>
        </w:tc>
        <w:tc>
          <w:tcPr>
            <w:tcW w:w="1368" w:type="dxa"/>
          </w:tcPr>
          <w:p w14:paraId="03602F19" w14:textId="166F37C4" w:rsidR="0023288C" w:rsidRPr="00AD4B4F" w:rsidRDefault="00D146F6">
            <w:pPr>
              <w:keepNext/>
              <w:widowControl w:val="0"/>
              <w:spacing w:after="0" w:line="240" w:lineRule="auto"/>
            </w:pPr>
            <w:r w:rsidRPr="00AD4B4F">
              <w:t>0</w:t>
            </w:r>
          </w:p>
        </w:tc>
      </w:tr>
      <w:tr w:rsidR="0023288C" w:rsidRPr="00AD4B4F" w14:paraId="5D2C6503" w14:textId="77777777">
        <w:trPr>
          <w:cantSplit/>
        </w:trPr>
        <w:tc>
          <w:tcPr>
            <w:tcW w:w="1368" w:type="dxa"/>
          </w:tcPr>
          <w:p w14:paraId="19EF3FC1" w14:textId="77777777" w:rsidR="0023288C" w:rsidRPr="00AD4B4F" w:rsidRDefault="00202916">
            <w:pPr>
              <w:keepNext/>
              <w:widowControl w:val="0"/>
              <w:spacing w:after="0" w:line="240" w:lineRule="auto"/>
            </w:pPr>
            <w:r w:rsidRPr="00AD4B4F">
              <w:t>Dollar Amount</w:t>
            </w:r>
          </w:p>
        </w:tc>
        <w:tc>
          <w:tcPr>
            <w:tcW w:w="1368" w:type="dxa"/>
          </w:tcPr>
          <w:p w14:paraId="0A6D97F2" w14:textId="43BB2AC0" w:rsidR="0023288C" w:rsidRPr="00AD4B4F" w:rsidRDefault="00D146F6">
            <w:pPr>
              <w:keepNext/>
              <w:widowControl w:val="0"/>
              <w:spacing w:after="0" w:line="240" w:lineRule="auto"/>
            </w:pPr>
            <w:r w:rsidRPr="00AD4B4F">
              <w:t>0</w:t>
            </w:r>
          </w:p>
        </w:tc>
        <w:tc>
          <w:tcPr>
            <w:tcW w:w="1368" w:type="dxa"/>
          </w:tcPr>
          <w:p w14:paraId="296AE7AC" w14:textId="7E63EBB3" w:rsidR="0023288C" w:rsidRPr="00AD4B4F" w:rsidRDefault="00D146F6">
            <w:pPr>
              <w:keepNext/>
              <w:widowControl w:val="0"/>
              <w:spacing w:after="0" w:line="240" w:lineRule="auto"/>
            </w:pPr>
            <w:r w:rsidRPr="00AD4B4F">
              <w:t>0</w:t>
            </w:r>
          </w:p>
        </w:tc>
        <w:tc>
          <w:tcPr>
            <w:tcW w:w="1368" w:type="dxa"/>
          </w:tcPr>
          <w:p w14:paraId="05467346" w14:textId="5A563E11" w:rsidR="0023288C" w:rsidRPr="00AD4B4F" w:rsidRDefault="00D146F6">
            <w:pPr>
              <w:keepNext/>
              <w:widowControl w:val="0"/>
              <w:spacing w:after="0" w:line="240" w:lineRule="auto"/>
            </w:pPr>
            <w:r w:rsidRPr="00AD4B4F">
              <w:t>0</w:t>
            </w:r>
          </w:p>
        </w:tc>
        <w:tc>
          <w:tcPr>
            <w:tcW w:w="1368" w:type="dxa"/>
          </w:tcPr>
          <w:p w14:paraId="7AC10A56" w14:textId="3997FEBF" w:rsidR="0023288C" w:rsidRPr="00AD4B4F" w:rsidRDefault="00D146F6">
            <w:pPr>
              <w:keepNext/>
              <w:widowControl w:val="0"/>
              <w:spacing w:after="0" w:line="240" w:lineRule="auto"/>
            </w:pPr>
            <w:r w:rsidRPr="00AD4B4F">
              <w:t>0</w:t>
            </w:r>
          </w:p>
        </w:tc>
        <w:tc>
          <w:tcPr>
            <w:tcW w:w="1368" w:type="dxa"/>
          </w:tcPr>
          <w:p w14:paraId="5AB67123" w14:textId="1714C6CC" w:rsidR="0023288C" w:rsidRPr="00AD4B4F" w:rsidRDefault="00D146F6">
            <w:pPr>
              <w:keepNext/>
              <w:widowControl w:val="0"/>
              <w:spacing w:after="0" w:line="240" w:lineRule="auto"/>
            </w:pPr>
            <w:r w:rsidRPr="00AD4B4F">
              <w:t>0</w:t>
            </w:r>
          </w:p>
        </w:tc>
        <w:tc>
          <w:tcPr>
            <w:tcW w:w="1368" w:type="dxa"/>
          </w:tcPr>
          <w:p w14:paraId="241F3B23" w14:textId="131B38AF" w:rsidR="0023288C" w:rsidRPr="00AD4B4F" w:rsidRDefault="00D146F6">
            <w:pPr>
              <w:keepNext/>
              <w:widowControl w:val="0"/>
              <w:spacing w:after="0" w:line="240" w:lineRule="auto"/>
            </w:pPr>
            <w:r w:rsidRPr="00AD4B4F">
              <w:t>0</w:t>
            </w:r>
          </w:p>
        </w:tc>
      </w:tr>
    </w:tbl>
    <w:p w14:paraId="0B2BFFE1" w14:textId="77777777" w:rsidR="0023288C" w:rsidRPr="00AD4B4F" w:rsidRDefault="0023288C">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23288C" w:rsidRPr="00AD4B4F" w14:paraId="63B79DE8" w14:textId="77777777">
        <w:trPr>
          <w:cantSplit/>
        </w:trPr>
        <w:tc>
          <w:tcPr>
            <w:tcW w:w="1394" w:type="dxa"/>
          </w:tcPr>
          <w:p w14:paraId="320421C5" w14:textId="77777777" w:rsidR="0023288C" w:rsidRPr="00AD4B4F" w:rsidRDefault="0023288C">
            <w:pPr>
              <w:keepNext/>
              <w:widowControl w:val="0"/>
              <w:spacing w:after="0" w:line="240" w:lineRule="auto"/>
              <w:rPr>
                <w:b/>
              </w:rPr>
            </w:pPr>
          </w:p>
        </w:tc>
        <w:tc>
          <w:tcPr>
            <w:tcW w:w="1393" w:type="dxa"/>
          </w:tcPr>
          <w:p w14:paraId="639063E5" w14:textId="77777777" w:rsidR="0023288C" w:rsidRPr="00AD4B4F" w:rsidRDefault="00202916">
            <w:pPr>
              <w:keepNext/>
              <w:widowControl w:val="0"/>
              <w:spacing w:after="0" w:line="240" w:lineRule="auto"/>
              <w:jc w:val="center"/>
              <w:rPr>
                <w:b/>
              </w:rPr>
            </w:pPr>
            <w:r w:rsidRPr="00AD4B4F">
              <w:rPr>
                <w:b/>
              </w:rPr>
              <w:t>Total</w:t>
            </w:r>
          </w:p>
        </w:tc>
        <w:tc>
          <w:tcPr>
            <w:tcW w:w="1393" w:type="dxa"/>
          </w:tcPr>
          <w:p w14:paraId="35554685" w14:textId="77777777" w:rsidR="0023288C" w:rsidRPr="00AD4B4F" w:rsidRDefault="00202916">
            <w:pPr>
              <w:keepNext/>
              <w:widowControl w:val="0"/>
              <w:spacing w:after="0" w:line="240" w:lineRule="auto"/>
              <w:jc w:val="center"/>
              <w:rPr>
                <w:b/>
                <w:szCs w:val="24"/>
              </w:rPr>
            </w:pPr>
            <w:r w:rsidRPr="00AD4B4F">
              <w:rPr>
                <w:b/>
              </w:rPr>
              <w:t>Women Business Enterprises</w:t>
            </w:r>
          </w:p>
        </w:tc>
        <w:tc>
          <w:tcPr>
            <w:tcW w:w="1393" w:type="dxa"/>
          </w:tcPr>
          <w:p w14:paraId="237F3F99" w14:textId="77777777" w:rsidR="0023288C" w:rsidRPr="00AD4B4F" w:rsidRDefault="00202916">
            <w:pPr>
              <w:keepNext/>
              <w:widowControl w:val="0"/>
              <w:spacing w:after="0" w:line="240" w:lineRule="auto"/>
              <w:jc w:val="center"/>
              <w:rPr>
                <w:b/>
                <w:szCs w:val="24"/>
              </w:rPr>
            </w:pPr>
            <w:r w:rsidRPr="00AD4B4F">
              <w:rPr>
                <w:b/>
              </w:rPr>
              <w:t>Male</w:t>
            </w:r>
          </w:p>
        </w:tc>
      </w:tr>
    </w:tbl>
    <w:p w14:paraId="1631B882" w14:textId="77777777" w:rsidR="0023288C" w:rsidRPr="00AD4B4F" w:rsidRDefault="0023288C">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23288C" w:rsidRPr="00AD4B4F" w14:paraId="26239DD9" w14:textId="77777777">
        <w:trPr>
          <w:cantSplit/>
        </w:trPr>
        <w:tc>
          <w:tcPr>
            <w:tcW w:w="5485" w:type="dxa"/>
            <w:gridSpan w:val="4"/>
          </w:tcPr>
          <w:p w14:paraId="0C8003EF" w14:textId="77777777" w:rsidR="0023288C" w:rsidRPr="00AD4B4F" w:rsidRDefault="00202916">
            <w:pPr>
              <w:keepNext/>
              <w:widowControl w:val="0"/>
              <w:spacing w:after="0" w:line="240" w:lineRule="auto"/>
              <w:rPr>
                <w:b/>
              </w:rPr>
            </w:pPr>
            <w:r w:rsidRPr="00AD4B4F">
              <w:rPr>
                <w:b/>
              </w:rPr>
              <w:t>Contracts</w:t>
            </w:r>
          </w:p>
        </w:tc>
      </w:tr>
      <w:tr w:rsidR="0023288C" w:rsidRPr="00AD4B4F" w14:paraId="0B4A2A30" w14:textId="77777777">
        <w:trPr>
          <w:cantSplit/>
          <w:hidden/>
        </w:trPr>
        <w:tc>
          <w:tcPr>
            <w:tcW w:w="1393" w:type="dxa"/>
          </w:tcPr>
          <w:p w14:paraId="3F6B663F" w14:textId="77777777" w:rsidR="0023288C" w:rsidRPr="00AD4B4F" w:rsidRDefault="0023288C">
            <w:pPr>
              <w:keepNext/>
              <w:widowControl w:val="0"/>
              <w:spacing w:after="0" w:line="240" w:lineRule="auto"/>
              <w:rPr>
                <w:b/>
                <w:vanish/>
              </w:rPr>
            </w:pPr>
          </w:p>
        </w:tc>
        <w:tc>
          <w:tcPr>
            <w:tcW w:w="1364" w:type="dxa"/>
          </w:tcPr>
          <w:p w14:paraId="163E659E" w14:textId="77777777" w:rsidR="0023288C" w:rsidRPr="00AD4B4F" w:rsidRDefault="0023288C">
            <w:pPr>
              <w:keepNext/>
              <w:widowControl w:val="0"/>
              <w:spacing w:after="0" w:line="240" w:lineRule="auto"/>
              <w:rPr>
                <w:b/>
                <w:vanish/>
              </w:rPr>
            </w:pPr>
          </w:p>
        </w:tc>
        <w:tc>
          <w:tcPr>
            <w:tcW w:w="1364" w:type="dxa"/>
          </w:tcPr>
          <w:p w14:paraId="72CD12FF" w14:textId="77777777" w:rsidR="0023288C" w:rsidRPr="00AD4B4F" w:rsidRDefault="0023288C">
            <w:pPr>
              <w:keepNext/>
              <w:widowControl w:val="0"/>
              <w:spacing w:after="0" w:line="240" w:lineRule="auto"/>
              <w:rPr>
                <w:b/>
                <w:vanish/>
              </w:rPr>
            </w:pPr>
          </w:p>
        </w:tc>
        <w:tc>
          <w:tcPr>
            <w:tcW w:w="1364" w:type="dxa"/>
          </w:tcPr>
          <w:p w14:paraId="405EAE1B" w14:textId="77777777" w:rsidR="0023288C" w:rsidRPr="00AD4B4F" w:rsidRDefault="0023288C">
            <w:pPr>
              <w:keepNext/>
              <w:widowControl w:val="0"/>
              <w:spacing w:after="0" w:line="240" w:lineRule="auto"/>
              <w:rPr>
                <w:b/>
                <w:vanish/>
              </w:rPr>
            </w:pPr>
          </w:p>
        </w:tc>
      </w:tr>
      <w:tr w:rsidR="0023288C" w:rsidRPr="00AD4B4F" w14:paraId="0B98298A" w14:textId="77777777">
        <w:trPr>
          <w:cantSplit/>
        </w:trPr>
        <w:tc>
          <w:tcPr>
            <w:tcW w:w="1393" w:type="dxa"/>
          </w:tcPr>
          <w:p w14:paraId="374127E3" w14:textId="77777777" w:rsidR="0023288C" w:rsidRPr="00AD4B4F" w:rsidRDefault="00202916">
            <w:pPr>
              <w:keepNext/>
              <w:widowControl w:val="0"/>
              <w:spacing w:after="0" w:line="240" w:lineRule="auto"/>
              <w:rPr>
                <w:b/>
              </w:rPr>
            </w:pPr>
            <w:r w:rsidRPr="00AD4B4F">
              <w:t>Number</w:t>
            </w:r>
          </w:p>
        </w:tc>
        <w:tc>
          <w:tcPr>
            <w:tcW w:w="1364" w:type="dxa"/>
          </w:tcPr>
          <w:p w14:paraId="59A40EFF" w14:textId="165A4A5F" w:rsidR="0023288C" w:rsidRPr="00AD4B4F" w:rsidRDefault="00D146F6">
            <w:pPr>
              <w:keepNext/>
              <w:widowControl w:val="0"/>
              <w:spacing w:after="0" w:line="240" w:lineRule="auto"/>
              <w:rPr>
                <w:b/>
              </w:rPr>
            </w:pPr>
            <w:r w:rsidRPr="00AD4B4F">
              <w:rPr>
                <w:b/>
              </w:rPr>
              <w:t>0</w:t>
            </w:r>
          </w:p>
        </w:tc>
        <w:tc>
          <w:tcPr>
            <w:tcW w:w="1364" w:type="dxa"/>
          </w:tcPr>
          <w:p w14:paraId="05E03D2F" w14:textId="20E3EC37" w:rsidR="0023288C" w:rsidRPr="00AD4B4F" w:rsidRDefault="00D146F6">
            <w:pPr>
              <w:keepNext/>
              <w:widowControl w:val="0"/>
              <w:spacing w:after="0" w:line="240" w:lineRule="auto"/>
              <w:rPr>
                <w:b/>
              </w:rPr>
            </w:pPr>
            <w:r w:rsidRPr="00AD4B4F">
              <w:rPr>
                <w:b/>
              </w:rPr>
              <w:t>0</w:t>
            </w:r>
          </w:p>
        </w:tc>
        <w:tc>
          <w:tcPr>
            <w:tcW w:w="1364" w:type="dxa"/>
          </w:tcPr>
          <w:p w14:paraId="0697E0CF" w14:textId="62E9BB51" w:rsidR="0023288C" w:rsidRPr="00AD4B4F" w:rsidRDefault="00D146F6">
            <w:pPr>
              <w:keepNext/>
              <w:widowControl w:val="0"/>
              <w:spacing w:after="0" w:line="240" w:lineRule="auto"/>
              <w:rPr>
                <w:b/>
              </w:rPr>
            </w:pPr>
            <w:r w:rsidRPr="00AD4B4F">
              <w:rPr>
                <w:b/>
              </w:rPr>
              <w:t>0</w:t>
            </w:r>
          </w:p>
        </w:tc>
      </w:tr>
      <w:tr w:rsidR="0023288C" w:rsidRPr="00AD4B4F" w14:paraId="1FC386FD" w14:textId="77777777">
        <w:trPr>
          <w:cantSplit/>
        </w:trPr>
        <w:tc>
          <w:tcPr>
            <w:tcW w:w="1393" w:type="dxa"/>
          </w:tcPr>
          <w:p w14:paraId="677E396B" w14:textId="77777777" w:rsidR="0023288C" w:rsidRPr="00AD4B4F" w:rsidRDefault="00202916">
            <w:pPr>
              <w:keepNext/>
              <w:widowControl w:val="0"/>
              <w:spacing w:after="0" w:line="240" w:lineRule="auto"/>
            </w:pPr>
            <w:r w:rsidRPr="00AD4B4F">
              <w:t>Dollar Amount</w:t>
            </w:r>
          </w:p>
        </w:tc>
        <w:tc>
          <w:tcPr>
            <w:tcW w:w="1364" w:type="dxa"/>
          </w:tcPr>
          <w:p w14:paraId="706DB71A" w14:textId="3BC3FB40" w:rsidR="0023288C" w:rsidRPr="00AD4B4F" w:rsidRDefault="00D146F6">
            <w:pPr>
              <w:keepNext/>
              <w:widowControl w:val="0"/>
              <w:spacing w:after="0" w:line="240" w:lineRule="auto"/>
              <w:rPr>
                <w:b/>
              </w:rPr>
            </w:pPr>
            <w:r w:rsidRPr="00AD4B4F">
              <w:rPr>
                <w:b/>
              </w:rPr>
              <w:t>0</w:t>
            </w:r>
          </w:p>
        </w:tc>
        <w:tc>
          <w:tcPr>
            <w:tcW w:w="1364" w:type="dxa"/>
          </w:tcPr>
          <w:p w14:paraId="3C165C9A" w14:textId="688AA482" w:rsidR="0023288C" w:rsidRPr="00AD4B4F" w:rsidRDefault="00D146F6">
            <w:pPr>
              <w:keepNext/>
              <w:widowControl w:val="0"/>
              <w:spacing w:after="0" w:line="240" w:lineRule="auto"/>
              <w:rPr>
                <w:b/>
              </w:rPr>
            </w:pPr>
            <w:r w:rsidRPr="00AD4B4F">
              <w:rPr>
                <w:b/>
              </w:rPr>
              <w:t>0</w:t>
            </w:r>
          </w:p>
        </w:tc>
        <w:tc>
          <w:tcPr>
            <w:tcW w:w="1364" w:type="dxa"/>
          </w:tcPr>
          <w:p w14:paraId="40EB5909" w14:textId="29D5FC66" w:rsidR="0023288C" w:rsidRPr="00AD4B4F" w:rsidRDefault="00D146F6">
            <w:pPr>
              <w:keepNext/>
              <w:widowControl w:val="0"/>
              <w:spacing w:after="0" w:line="240" w:lineRule="auto"/>
              <w:rPr>
                <w:b/>
              </w:rPr>
            </w:pPr>
            <w:r w:rsidRPr="00AD4B4F">
              <w:rPr>
                <w:b/>
              </w:rPr>
              <w:t>0</w:t>
            </w:r>
          </w:p>
        </w:tc>
      </w:tr>
    </w:tbl>
    <w:p w14:paraId="2B1E4DC9" w14:textId="77777777" w:rsidR="0023288C" w:rsidRPr="00AD4B4F" w:rsidRDefault="0023288C">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23288C" w:rsidRPr="00AD4B4F" w14:paraId="04F0111C" w14:textId="77777777">
        <w:trPr>
          <w:cantSplit/>
        </w:trPr>
        <w:tc>
          <w:tcPr>
            <w:tcW w:w="5485" w:type="dxa"/>
            <w:gridSpan w:val="4"/>
          </w:tcPr>
          <w:p w14:paraId="449AE280" w14:textId="77777777" w:rsidR="0023288C" w:rsidRPr="00AD4B4F" w:rsidRDefault="00202916">
            <w:pPr>
              <w:keepNext/>
              <w:widowControl w:val="0"/>
              <w:spacing w:after="0" w:line="240" w:lineRule="auto"/>
              <w:rPr>
                <w:b/>
              </w:rPr>
            </w:pPr>
            <w:r w:rsidRPr="00AD4B4F">
              <w:rPr>
                <w:b/>
              </w:rPr>
              <w:t>Sub-Contracts</w:t>
            </w:r>
          </w:p>
        </w:tc>
      </w:tr>
      <w:tr w:rsidR="0023288C" w:rsidRPr="00AD4B4F" w14:paraId="2B258725" w14:textId="77777777">
        <w:trPr>
          <w:cantSplit/>
          <w:hidden/>
        </w:trPr>
        <w:tc>
          <w:tcPr>
            <w:tcW w:w="1393" w:type="dxa"/>
          </w:tcPr>
          <w:p w14:paraId="08CD1307" w14:textId="77777777" w:rsidR="0023288C" w:rsidRPr="00AD4B4F" w:rsidRDefault="0023288C">
            <w:pPr>
              <w:keepNext/>
              <w:widowControl w:val="0"/>
              <w:spacing w:after="0" w:line="240" w:lineRule="auto"/>
              <w:rPr>
                <w:b/>
                <w:vanish/>
              </w:rPr>
            </w:pPr>
          </w:p>
        </w:tc>
        <w:tc>
          <w:tcPr>
            <w:tcW w:w="1364" w:type="dxa"/>
          </w:tcPr>
          <w:p w14:paraId="3E5F9B55" w14:textId="77777777" w:rsidR="0023288C" w:rsidRPr="00AD4B4F" w:rsidRDefault="0023288C">
            <w:pPr>
              <w:keepNext/>
              <w:widowControl w:val="0"/>
              <w:spacing w:after="0" w:line="240" w:lineRule="auto"/>
              <w:rPr>
                <w:b/>
                <w:vanish/>
              </w:rPr>
            </w:pPr>
          </w:p>
        </w:tc>
        <w:tc>
          <w:tcPr>
            <w:tcW w:w="1364" w:type="dxa"/>
          </w:tcPr>
          <w:p w14:paraId="74D6D0A9" w14:textId="77777777" w:rsidR="0023288C" w:rsidRPr="00AD4B4F" w:rsidRDefault="0023288C">
            <w:pPr>
              <w:keepNext/>
              <w:widowControl w:val="0"/>
              <w:spacing w:after="0" w:line="240" w:lineRule="auto"/>
              <w:rPr>
                <w:b/>
                <w:vanish/>
              </w:rPr>
            </w:pPr>
          </w:p>
        </w:tc>
        <w:tc>
          <w:tcPr>
            <w:tcW w:w="1364" w:type="dxa"/>
          </w:tcPr>
          <w:p w14:paraId="700FD9DB" w14:textId="77777777" w:rsidR="0023288C" w:rsidRPr="00AD4B4F" w:rsidRDefault="0023288C">
            <w:pPr>
              <w:keepNext/>
              <w:widowControl w:val="0"/>
              <w:spacing w:after="0" w:line="240" w:lineRule="auto"/>
              <w:rPr>
                <w:b/>
                <w:vanish/>
              </w:rPr>
            </w:pPr>
          </w:p>
        </w:tc>
      </w:tr>
      <w:tr w:rsidR="0023288C" w:rsidRPr="00AD4B4F" w14:paraId="7F49F840" w14:textId="77777777">
        <w:trPr>
          <w:cantSplit/>
        </w:trPr>
        <w:tc>
          <w:tcPr>
            <w:tcW w:w="1393" w:type="dxa"/>
          </w:tcPr>
          <w:p w14:paraId="59BE4F29" w14:textId="77777777" w:rsidR="0023288C" w:rsidRPr="00AD4B4F" w:rsidRDefault="00202916">
            <w:pPr>
              <w:keepNext/>
              <w:widowControl w:val="0"/>
              <w:spacing w:after="0" w:line="240" w:lineRule="auto"/>
              <w:rPr>
                <w:b/>
              </w:rPr>
            </w:pPr>
            <w:r w:rsidRPr="00AD4B4F">
              <w:t>Number</w:t>
            </w:r>
          </w:p>
        </w:tc>
        <w:tc>
          <w:tcPr>
            <w:tcW w:w="1364" w:type="dxa"/>
          </w:tcPr>
          <w:p w14:paraId="74EFC4FD" w14:textId="1440EFF1" w:rsidR="0023288C" w:rsidRPr="00AD4B4F" w:rsidRDefault="00D146F6">
            <w:pPr>
              <w:keepNext/>
              <w:widowControl w:val="0"/>
              <w:spacing w:after="0" w:line="240" w:lineRule="auto"/>
              <w:rPr>
                <w:b/>
              </w:rPr>
            </w:pPr>
            <w:r w:rsidRPr="00AD4B4F">
              <w:rPr>
                <w:b/>
              </w:rPr>
              <w:t>0</w:t>
            </w:r>
          </w:p>
        </w:tc>
        <w:tc>
          <w:tcPr>
            <w:tcW w:w="1364" w:type="dxa"/>
          </w:tcPr>
          <w:p w14:paraId="2D6509BC" w14:textId="1A41A2FB" w:rsidR="0023288C" w:rsidRPr="00AD4B4F" w:rsidRDefault="00D146F6">
            <w:pPr>
              <w:keepNext/>
              <w:widowControl w:val="0"/>
              <w:spacing w:after="0" w:line="240" w:lineRule="auto"/>
              <w:rPr>
                <w:b/>
              </w:rPr>
            </w:pPr>
            <w:r w:rsidRPr="00AD4B4F">
              <w:rPr>
                <w:b/>
              </w:rPr>
              <w:t>0</w:t>
            </w:r>
          </w:p>
        </w:tc>
        <w:tc>
          <w:tcPr>
            <w:tcW w:w="1364" w:type="dxa"/>
          </w:tcPr>
          <w:p w14:paraId="18333376" w14:textId="63163406" w:rsidR="0023288C" w:rsidRPr="00AD4B4F" w:rsidRDefault="00D146F6">
            <w:pPr>
              <w:keepNext/>
              <w:widowControl w:val="0"/>
              <w:spacing w:after="0" w:line="240" w:lineRule="auto"/>
              <w:rPr>
                <w:b/>
              </w:rPr>
            </w:pPr>
            <w:r w:rsidRPr="00AD4B4F">
              <w:rPr>
                <w:b/>
              </w:rPr>
              <w:t>0</w:t>
            </w:r>
          </w:p>
        </w:tc>
      </w:tr>
      <w:tr w:rsidR="0023288C" w:rsidRPr="00AD4B4F" w14:paraId="38BFEE0F" w14:textId="77777777">
        <w:trPr>
          <w:cantSplit/>
        </w:trPr>
        <w:tc>
          <w:tcPr>
            <w:tcW w:w="1393" w:type="dxa"/>
          </w:tcPr>
          <w:p w14:paraId="53C5ACE7" w14:textId="77777777" w:rsidR="0023288C" w:rsidRPr="00AD4B4F" w:rsidRDefault="00202916">
            <w:pPr>
              <w:keepNext/>
              <w:widowControl w:val="0"/>
              <w:spacing w:after="0" w:line="240" w:lineRule="auto"/>
            </w:pPr>
            <w:r w:rsidRPr="00AD4B4F">
              <w:t>Dollar Amount</w:t>
            </w:r>
          </w:p>
        </w:tc>
        <w:tc>
          <w:tcPr>
            <w:tcW w:w="1364" w:type="dxa"/>
          </w:tcPr>
          <w:p w14:paraId="61870B48" w14:textId="65D6B6E6" w:rsidR="0023288C" w:rsidRPr="00AD4B4F" w:rsidRDefault="00D146F6">
            <w:pPr>
              <w:keepNext/>
              <w:widowControl w:val="0"/>
              <w:spacing w:after="0" w:line="240" w:lineRule="auto"/>
              <w:rPr>
                <w:b/>
              </w:rPr>
            </w:pPr>
            <w:r w:rsidRPr="00AD4B4F">
              <w:rPr>
                <w:b/>
              </w:rPr>
              <w:t>0</w:t>
            </w:r>
          </w:p>
        </w:tc>
        <w:tc>
          <w:tcPr>
            <w:tcW w:w="1364" w:type="dxa"/>
          </w:tcPr>
          <w:p w14:paraId="14C8C28B" w14:textId="793384E5" w:rsidR="0023288C" w:rsidRPr="00AD4B4F" w:rsidRDefault="00D146F6">
            <w:pPr>
              <w:keepNext/>
              <w:widowControl w:val="0"/>
              <w:spacing w:after="0" w:line="240" w:lineRule="auto"/>
              <w:rPr>
                <w:b/>
              </w:rPr>
            </w:pPr>
            <w:r w:rsidRPr="00AD4B4F">
              <w:rPr>
                <w:b/>
              </w:rPr>
              <w:t>0</w:t>
            </w:r>
          </w:p>
        </w:tc>
        <w:tc>
          <w:tcPr>
            <w:tcW w:w="1364" w:type="dxa"/>
          </w:tcPr>
          <w:p w14:paraId="74DC0BDC" w14:textId="487E423F" w:rsidR="0023288C" w:rsidRPr="00AD4B4F" w:rsidRDefault="00D146F6">
            <w:pPr>
              <w:keepNext/>
              <w:widowControl w:val="0"/>
              <w:spacing w:after="0" w:line="240" w:lineRule="auto"/>
              <w:rPr>
                <w:b/>
              </w:rPr>
            </w:pPr>
            <w:r w:rsidRPr="00AD4B4F">
              <w:rPr>
                <w:b/>
              </w:rPr>
              <w:t>0</w:t>
            </w:r>
          </w:p>
        </w:tc>
      </w:tr>
    </w:tbl>
    <w:p w14:paraId="361C8819" w14:textId="7646BF8C" w:rsidR="0023288C" w:rsidRPr="00AD4B4F" w:rsidRDefault="00202916">
      <w:pPr>
        <w:pStyle w:val="Caption"/>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8</w:t>
      </w:r>
      <w:r w:rsidRPr="00AD4B4F">
        <w:rPr>
          <w:rFonts w:asciiTheme="minorHAnsi" w:hAnsiTheme="minorHAnsi"/>
        </w:rPr>
        <w:fldChar w:fldCharType="end"/>
      </w:r>
      <w:r w:rsidRPr="00AD4B4F">
        <w:rPr>
          <w:rFonts w:asciiTheme="minorHAnsi" w:hAnsiTheme="minorHAnsi"/>
        </w:rPr>
        <w:t xml:space="preserve"> - Minority Business and Women Business Enterprises</w:t>
      </w:r>
    </w:p>
    <w:p w14:paraId="7F9DE7F7" w14:textId="77777777" w:rsidR="0023288C" w:rsidRPr="00AD4B4F" w:rsidRDefault="0023288C">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288C" w:rsidRPr="00AD4B4F" w14:paraId="0A0DC4A9" w14:textId="77777777">
        <w:tc>
          <w:tcPr>
            <w:tcW w:w="9576" w:type="dxa"/>
          </w:tcPr>
          <w:p w14:paraId="67D8FA78" w14:textId="77777777" w:rsidR="0023288C" w:rsidRPr="00AD4B4F" w:rsidRDefault="00202916">
            <w:pPr>
              <w:keepNext/>
              <w:widowControl w:val="0"/>
              <w:spacing w:after="0" w:line="240" w:lineRule="auto"/>
              <w:rPr>
                <w:b/>
                <w:szCs w:val="24"/>
              </w:rPr>
            </w:pPr>
            <w:r w:rsidRPr="00AD4B4F">
              <w:rPr>
                <w:b/>
              </w:rPr>
              <w:lastRenderedPageBreak/>
              <w:t xml:space="preserve">Minority Owners of Rental Property </w:t>
            </w:r>
            <w:r w:rsidRPr="00AD4B4F">
              <w:t>– Indicate the number of HOME assisted rental property owners and the total amount of HOME funds in these rental properties assisted</w:t>
            </w:r>
          </w:p>
        </w:tc>
      </w:tr>
    </w:tbl>
    <w:p w14:paraId="4D3E2C8F" w14:textId="77777777" w:rsidR="0023288C" w:rsidRPr="00AD4B4F" w:rsidRDefault="0023288C">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23288C" w:rsidRPr="00AD4B4F" w14:paraId="317D2E45" w14:textId="77777777">
        <w:tc>
          <w:tcPr>
            <w:tcW w:w="1408" w:type="dxa"/>
            <w:vMerge w:val="restart"/>
          </w:tcPr>
          <w:p w14:paraId="65404762" w14:textId="77777777" w:rsidR="0023288C" w:rsidRPr="00AD4B4F" w:rsidRDefault="0023288C">
            <w:pPr>
              <w:keepNext/>
              <w:widowControl w:val="0"/>
              <w:spacing w:after="0" w:line="240" w:lineRule="auto"/>
              <w:jc w:val="center"/>
              <w:rPr>
                <w:b/>
              </w:rPr>
            </w:pPr>
          </w:p>
        </w:tc>
        <w:tc>
          <w:tcPr>
            <w:tcW w:w="809" w:type="dxa"/>
            <w:vMerge w:val="restart"/>
          </w:tcPr>
          <w:p w14:paraId="6DFF67D8" w14:textId="77777777" w:rsidR="0023288C" w:rsidRPr="00AD4B4F" w:rsidRDefault="00202916">
            <w:pPr>
              <w:keepNext/>
              <w:widowControl w:val="0"/>
              <w:spacing w:after="0" w:line="240" w:lineRule="auto"/>
              <w:jc w:val="center"/>
              <w:rPr>
                <w:b/>
              </w:rPr>
            </w:pPr>
            <w:r w:rsidRPr="00AD4B4F">
              <w:rPr>
                <w:b/>
              </w:rPr>
              <w:t>Total</w:t>
            </w:r>
          </w:p>
        </w:tc>
        <w:tc>
          <w:tcPr>
            <w:tcW w:w="5891" w:type="dxa"/>
            <w:gridSpan w:val="4"/>
          </w:tcPr>
          <w:p w14:paraId="7A3FC339" w14:textId="77777777" w:rsidR="0023288C" w:rsidRPr="00AD4B4F" w:rsidRDefault="00202916">
            <w:pPr>
              <w:keepNext/>
              <w:widowControl w:val="0"/>
              <w:spacing w:after="0" w:line="240" w:lineRule="auto"/>
              <w:jc w:val="center"/>
              <w:rPr>
                <w:b/>
              </w:rPr>
            </w:pPr>
            <w:r w:rsidRPr="00AD4B4F">
              <w:rPr>
                <w:b/>
              </w:rPr>
              <w:t>Minority Property Owners</w:t>
            </w:r>
          </w:p>
        </w:tc>
        <w:tc>
          <w:tcPr>
            <w:tcW w:w="1468" w:type="dxa"/>
            <w:vMerge w:val="restart"/>
          </w:tcPr>
          <w:p w14:paraId="7B31685A" w14:textId="77777777" w:rsidR="0023288C" w:rsidRPr="00AD4B4F" w:rsidRDefault="00202916">
            <w:pPr>
              <w:keepNext/>
              <w:widowControl w:val="0"/>
              <w:spacing w:after="0" w:line="240" w:lineRule="auto"/>
              <w:jc w:val="center"/>
              <w:rPr>
                <w:b/>
              </w:rPr>
            </w:pPr>
            <w:r w:rsidRPr="00AD4B4F">
              <w:rPr>
                <w:b/>
              </w:rPr>
              <w:t>White Non-Hispanic</w:t>
            </w:r>
          </w:p>
        </w:tc>
      </w:tr>
      <w:tr w:rsidR="0023288C" w:rsidRPr="00AD4B4F" w14:paraId="2204966C" w14:textId="77777777">
        <w:tc>
          <w:tcPr>
            <w:tcW w:w="1408" w:type="dxa"/>
            <w:vMerge/>
          </w:tcPr>
          <w:p w14:paraId="2A64E45C" w14:textId="77777777" w:rsidR="0023288C" w:rsidRPr="00AD4B4F" w:rsidRDefault="0023288C">
            <w:pPr>
              <w:keepNext/>
              <w:widowControl w:val="0"/>
              <w:spacing w:after="0" w:line="240" w:lineRule="auto"/>
              <w:jc w:val="center"/>
              <w:rPr>
                <w:b/>
              </w:rPr>
            </w:pPr>
          </w:p>
        </w:tc>
        <w:tc>
          <w:tcPr>
            <w:tcW w:w="809" w:type="dxa"/>
            <w:vMerge/>
          </w:tcPr>
          <w:p w14:paraId="7B996859" w14:textId="77777777" w:rsidR="0023288C" w:rsidRPr="00AD4B4F" w:rsidRDefault="0023288C">
            <w:pPr>
              <w:keepNext/>
              <w:widowControl w:val="0"/>
              <w:spacing w:after="0" w:line="240" w:lineRule="auto"/>
              <w:jc w:val="center"/>
              <w:rPr>
                <w:b/>
              </w:rPr>
            </w:pPr>
          </w:p>
        </w:tc>
        <w:tc>
          <w:tcPr>
            <w:tcW w:w="1523" w:type="dxa"/>
          </w:tcPr>
          <w:p w14:paraId="474510BF" w14:textId="77777777" w:rsidR="0023288C" w:rsidRPr="00AD4B4F" w:rsidRDefault="00202916">
            <w:pPr>
              <w:keepNext/>
              <w:widowControl w:val="0"/>
              <w:jc w:val="center"/>
              <w:rPr>
                <w:b/>
              </w:rPr>
            </w:pPr>
            <w:r w:rsidRPr="00AD4B4F">
              <w:rPr>
                <w:b/>
              </w:rPr>
              <w:t>Alaskan Native or American Indian</w:t>
            </w:r>
          </w:p>
        </w:tc>
        <w:tc>
          <w:tcPr>
            <w:tcW w:w="1432" w:type="dxa"/>
          </w:tcPr>
          <w:p w14:paraId="3FA05750" w14:textId="77777777" w:rsidR="0023288C" w:rsidRPr="00AD4B4F" w:rsidRDefault="00202916">
            <w:pPr>
              <w:keepNext/>
              <w:widowControl w:val="0"/>
              <w:ind w:right="-28"/>
              <w:jc w:val="center"/>
              <w:rPr>
                <w:b/>
              </w:rPr>
            </w:pPr>
            <w:r w:rsidRPr="00AD4B4F">
              <w:rPr>
                <w:b/>
              </w:rPr>
              <w:t>Asian or Pacific Islander</w:t>
            </w:r>
          </w:p>
        </w:tc>
        <w:tc>
          <w:tcPr>
            <w:tcW w:w="1468" w:type="dxa"/>
          </w:tcPr>
          <w:p w14:paraId="05426F6F" w14:textId="77777777" w:rsidR="0023288C" w:rsidRPr="00AD4B4F" w:rsidRDefault="00202916">
            <w:pPr>
              <w:keepNext/>
              <w:widowControl w:val="0"/>
              <w:jc w:val="center"/>
              <w:rPr>
                <w:b/>
              </w:rPr>
            </w:pPr>
            <w:r w:rsidRPr="00AD4B4F">
              <w:rPr>
                <w:b/>
              </w:rPr>
              <w:t>Black Non-Hispanic</w:t>
            </w:r>
          </w:p>
        </w:tc>
        <w:tc>
          <w:tcPr>
            <w:tcW w:w="1468" w:type="dxa"/>
          </w:tcPr>
          <w:p w14:paraId="60B9A0DB" w14:textId="77777777" w:rsidR="0023288C" w:rsidRPr="00AD4B4F" w:rsidRDefault="00202916">
            <w:pPr>
              <w:keepNext/>
              <w:widowControl w:val="0"/>
              <w:jc w:val="center"/>
              <w:rPr>
                <w:b/>
              </w:rPr>
            </w:pPr>
            <w:r w:rsidRPr="00AD4B4F">
              <w:rPr>
                <w:b/>
              </w:rPr>
              <w:t>Hispanic</w:t>
            </w:r>
          </w:p>
        </w:tc>
        <w:tc>
          <w:tcPr>
            <w:tcW w:w="1468" w:type="dxa"/>
            <w:vMerge/>
          </w:tcPr>
          <w:p w14:paraId="4C5CDFDA" w14:textId="77777777" w:rsidR="0023288C" w:rsidRPr="00AD4B4F" w:rsidRDefault="0023288C">
            <w:pPr>
              <w:keepNext/>
              <w:widowControl w:val="0"/>
              <w:spacing w:after="0" w:line="240" w:lineRule="auto"/>
              <w:jc w:val="center"/>
              <w:rPr>
                <w:b/>
              </w:rPr>
            </w:pPr>
          </w:p>
        </w:tc>
      </w:tr>
      <w:tr w:rsidR="0023288C" w:rsidRPr="00AD4B4F" w14:paraId="4D794344" w14:textId="77777777">
        <w:tc>
          <w:tcPr>
            <w:tcW w:w="1408" w:type="dxa"/>
          </w:tcPr>
          <w:p w14:paraId="250B7A1D" w14:textId="77777777" w:rsidR="0023288C" w:rsidRPr="00AD4B4F" w:rsidRDefault="00202916">
            <w:pPr>
              <w:keepNext/>
              <w:widowControl w:val="0"/>
              <w:spacing w:after="0" w:line="240" w:lineRule="auto"/>
              <w:rPr>
                <w:b/>
              </w:rPr>
            </w:pPr>
            <w:r w:rsidRPr="00AD4B4F">
              <w:t>Number</w:t>
            </w:r>
          </w:p>
        </w:tc>
        <w:tc>
          <w:tcPr>
            <w:tcW w:w="809" w:type="dxa"/>
          </w:tcPr>
          <w:p w14:paraId="44586BF3" w14:textId="2EC04ADF" w:rsidR="0023288C" w:rsidRPr="00AD4B4F" w:rsidRDefault="00D146F6">
            <w:pPr>
              <w:keepNext/>
              <w:widowControl w:val="0"/>
              <w:spacing w:after="0" w:line="240" w:lineRule="auto"/>
              <w:rPr>
                <w:b/>
              </w:rPr>
            </w:pPr>
            <w:r w:rsidRPr="00AD4B4F">
              <w:rPr>
                <w:b/>
              </w:rPr>
              <w:t>0</w:t>
            </w:r>
          </w:p>
        </w:tc>
        <w:tc>
          <w:tcPr>
            <w:tcW w:w="1523" w:type="dxa"/>
          </w:tcPr>
          <w:p w14:paraId="0F3212B6" w14:textId="77777777" w:rsidR="0023288C" w:rsidRPr="00AD4B4F" w:rsidRDefault="0023288C">
            <w:pPr>
              <w:keepNext/>
              <w:widowControl w:val="0"/>
              <w:spacing w:after="0" w:line="240" w:lineRule="auto"/>
              <w:rPr>
                <w:b/>
              </w:rPr>
            </w:pPr>
          </w:p>
        </w:tc>
        <w:tc>
          <w:tcPr>
            <w:tcW w:w="1432" w:type="dxa"/>
          </w:tcPr>
          <w:p w14:paraId="0F0483E5" w14:textId="77777777" w:rsidR="0023288C" w:rsidRPr="00AD4B4F" w:rsidRDefault="0023288C">
            <w:pPr>
              <w:keepNext/>
              <w:widowControl w:val="0"/>
              <w:spacing w:after="0" w:line="240" w:lineRule="auto"/>
              <w:rPr>
                <w:b/>
              </w:rPr>
            </w:pPr>
          </w:p>
        </w:tc>
        <w:tc>
          <w:tcPr>
            <w:tcW w:w="1468" w:type="dxa"/>
          </w:tcPr>
          <w:p w14:paraId="3B44AF60" w14:textId="77777777" w:rsidR="0023288C" w:rsidRPr="00AD4B4F" w:rsidRDefault="0023288C">
            <w:pPr>
              <w:keepNext/>
              <w:widowControl w:val="0"/>
              <w:spacing w:after="0" w:line="240" w:lineRule="auto"/>
              <w:rPr>
                <w:b/>
              </w:rPr>
            </w:pPr>
          </w:p>
        </w:tc>
        <w:tc>
          <w:tcPr>
            <w:tcW w:w="1468" w:type="dxa"/>
          </w:tcPr>
          <w:p w14:paraId="5508BEC7" w14:textId="77777777" w:rsidR="0023288C" w:rsidRPr="00AD4B4F" w:rsidRDefault="0023288C">
            <w:pPr>
              <w:keepNext/>
              <w:widowControl w:val="0"/>
              <w:spacing w:after="0" w:line="240" w:lineRule="auto"/>
              <w:rPr>
                <w:b/>
              </w:rPr>
            </w:pPr>
          </w:p>
        </w:tc>
        <w:tc>
          <w:tcPr>
            <w:tcW w:w="1468" w:type="dxa"/>
          </w:tcPr>
          <w:p w14:paraId="4B8BCE61" w14:textId="77777777" w:rsidR="0023288C" w:rsidRPr="00AD4B4F" w:rsidRDefault="0023288C">
            <w:pPr>
              <w:keepNext/>
              <w:widowControl w:val="0"/>
              <w:spacing w:after="0" w:line="240" w:lineRule="auto"/>
              <w:rPr>
                <w:b/>
              </w:rPr>
            </w:pPr>
          </w:p>
        </w:tc>
      </w:tr>
      <w:tr w:rsidR="0023288C" w:rsidRPr="00AD4B4F" w14:paraId="24C17E61" w14:textId="77777777">
        <w:tc>
          <w:tcPr>
            <w:tcW w:w="1408" w:type="dxa"/>
          </w:tcPr>
          <w:p w14:paraId="40167459" w14:textId="77777777" w:rsidR="0023288C" w:rsidRPr="00AD4B4F" w:rsidRDefault="00202916">
            <w:pPr>
              <w:keepNext/>
              <w:widowControl w:val="0"/>
              <w:spacing w:after="0" w:line="240" w:lineRule="auto"/>
            </w:pPr>
            <w:r w:rsidRPr="00AD4B4F">
              <w:t>Dollar Amount</w:t>
            </w:r>
          </w:p>
        </w:tc>
        <w:tc>
          <w:tcPr>
            <w:tcW w:w="809" w:type="dxa"/>
          </w:tcPr>
          <w:p w14:paraId="387A62B5" w14:textId="22051AA4" w:rsidR="0023288C" w:rsidRPr="00AD4B4F" w:rsidRDefault="00D146F6">
            <w:pPr>
              <w:keepNext/>
              <w:widowControl w:val="0"/>
              <w:spacing w:after="0" w:line="240" w:lineRule="auto"/>
              <w:rPr>
                <w:b/>
              </w:rPr>
            </w:pPr>
            <w:r w:rsidRPr="00AD4B4F">
              <w:rPr>
                <w:b/>
              </w:rPr>
              <w:t>0</w:t>
            </w:r>
          </w:p>
        </w:tc>
        <w:tc>
          <w:tcPr>
            <w:tcW w:w="1523" w:type="dxa"/>
          </w:tcPr>
          <w:p w14:paraId="4A299491" w14:textId="77777777" w:rsidR="0023288C" w:rsidRPr="00AD4B4F" w:rsidRDefault="0023288C">
            <w:pPr>
              <w:keepNext/>
              <w:widowControl w:val="0"/>
              <w:spacing w:after="0" w:line="240" w:lineRule="auto"/>
              <w:rPr>
                <w:b/>
              </w:rPr>
            </w:pPr>
          </w:p>
        </w:tc>
        <w:tc>
          <w:tcPr>
            <w:tcW w:w="1432" w:type="dxa"/>
          </w:tcPr>
          <w:p w14:paraId="38355E36" w14:textId="77777777" w:rsidR="0023288C" w:rsidRPr="00AD4B4F" w:rsidRDefault="0023288C">
            <w:pPr>
              <w:keepNext/>
              <w:widowControl w:val="0"/>
              <w:spacing w:after="0" w:line="240" w:lineRule="auto"/>
              <w:rPr>
                <w:b/>
              </w:rPr>
            </w:pPr>
          </w:p>
        </w:tc>
        <w:tc>
          <w:tcPr>
            <w:tcW w:w="1468" w:type="dxa"/>
          </w:tcPr>
          <w:p w14:paraId="726C07CB" w14:textId="77777777" w:rsidR="0023288C" w:rsidRPr="00AD4B4F" w:rsidRDefault="0023288C">
            <w:pPr>
              <w:keepNext/>
              <w:widowControl w:val="0"/>
              <w:spacing w:after="0" w:line="240" w:lineRule="auto"/>
              <w:rPr>
                <w:b/>
              </w:rPr>
            </w:pPr>
          </w:p>
        </w:tc>
        <w:tc>
          <w:tcPr>
            <w:tcW w:w="1468" w:type="dxa"/>
          </w:tcPr>
          <w:p w14:paraId="3573F035" w14:textId="77777777" w:rsidR="0023288C" w:rsidRPr="00AD4B4F" w:rsidRDefault="0023288C">
            <w:pPr>
              <w:keepNext/>
              <w:widowControl w:val="0"/>
              <w:spacing w:after="0" w:line="240" w:lineRule="auto"/>
              <w:rPr>
                <w:b/>
              </w:rPr>
            </w:pPr>
          </w:p>
        </w:tc>
        <w:tc>
          <w:tcPr>
            <w:tcW w:w="1468" w:type="dxa"/>
          </w:tcPr>
          <w:p w14:paraId="3BD2E5AA" w14:textId="77777777" w:rsidR="0023288C" w:rsidRPr="00AD4B4F" w:rsidRDefault="0023288C">
            <w:pPr>
              <w:keepNext/>
              <w:widowControl w:val="0"/>
              <w:spacing w:after="0" w:line="240" w:lineRule="auto"/>
              <w:rPr>
                <w:b/>
              </w:rPr>
            </w:pPr>
          </w:p>
        </w:tc>
      </w:tr>
    </w:tbl>
    <w:p w14:paraId="2E1A1DFD" w14:textId="1B395EA5"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9</w:t>
      </w:r>
      <w:r w:rsidRPr="00AD4B4F">
        <w:rPr>
          <w:rFonts w:asciiTheme="minorHAnsi" w:hAnsiTheme="minorHAnsi"/>
        </w:rPr>
        <w:fldChar w:fldCharType="end"/>
      </w:r>
      <w:r w:rsidRPr="00AD4B4F">
        <w:rPr>
          <w:rFonts w:asciiTheme="minorHAnsi" w:hAnsiTheme="minorHAnsi"/>
        </w:rPr>
        <w:t xml:space="preserve"> – Minority Owners of Rental Property</w:t>
      </w:r>
    </w:p>
    <w:p w14:paraId="3AFD4914" w14:textId="77777777" w:rsidR="0023288C" w:rsidRPr="00AD4B4F" w:rsidRDefault="0023288C">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3288C" w:rsidRPr="00AD4B4F" w14:paraId="10254AFC" w14:textId="77777777">
        <w:tc>
          <w:tcPr>
            <w:tcW w:w="13176" w:type="dxa"/>
          </w:tcPr>
          <w:p w14:paraId="21E959C3" w14:textId="77777777" w:rsidR="0023288C" w:rsidRPr="00AD4B4F" w:rsidRDefault="00202916">
            <w:pPr>
              <w:keepNext/>
              <w:widowControl w:val="0"/>
              <w:spacing w:after="0" w:line="240" w:lineRule="auto"/>
              <w:rPr>
                <w:b/>
              </w:rPr>
            </w:pPr>
            <w:r w:rsidRPr="00AD4B4F">
              <w:rPr>
                <w:b/>
              </w:rPr>
              <w:t xml:space="preserve">Relocation and Real Property Acquisition – </w:t>
            </w:r>
            <w:r w:rsidRPr="00AD4B4F">
              <w:t>Indicate the number of persons displaced, the cost of relocation payments, the number of parcels acquired, and the cost of acquisition</w:t>
            </w:r>
          </w:p>
        </w:tc>
      </w:tr>
    </w:tbl>
    <w:p w14:paraId="01BA616B" w14:textId="77777777" w:rsidR="0023288C" w:rsidRPr="00AD4B4F" w:rsidRDefault="0023288C">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23288C" w:rsidRPr="00AD4B4F" w14:paraId="20D91839" w14:textId="77777777">
        <w:trPr>
          <w:cantSplit/>
          <w:hidden/>
        </w:trPr>
        <w:tc>
          <w:tcPr>
            <w:tcW w:w="4392" w:type="dxa"/>
          </w:tcPr>
          <w:p w14:paraId="6637FE5D" w14:textId="77777777" w:rsidR="0023288C" w:rsidRPr="00AD4B4F" w:rsidRDefault="0023288C">
            <w:pPr>
              <w:keepNext/>
              <w:widowControl w:val="0"/>
              <w:spacing w:after="0" w:line="240" w:lineRule="auto"/>
              <w:rPr>
                <w:b/>
                <w:vanish/>
              </w:rPr>
            </w:pPr>
          </w:p>
        </w:tc>
        <w:tc>
          <w:tcPr>
            <w:tcW w:w="2314" w:type="dxa"/>
          </w:tcPr>
          <w:p w14:paraId="0D263458" w14:textId="77777777" w:rsidR="0023288C" w:rsidRPr="00AD4B4F" w:rsidRDefault="00202916">
            <w:pPr>
              <w:keepNext/>
              <w:widowControl w:val="0"/>
              <w:spacing w:after="0" w:line="240" w:lineRule="auto"/>
              <w:jc w:val="center"/>
              <w:rPr>
                <w:b/>
                <w:vanish/>
              </w:rPr>
            </w:pPr>
            <w:r w:rsidRPr="00AD4B4F">
              <w:rPr>
                <w:b/>
                <w:vanish/>
              </w:rPr>
              <w:t>Number</w:t>
            </w:r>
          </w:p>
        </w:tc>
        <w:tc>
          <w:tcPr>
            <w:tcW w:w="2314" w:type="dxa"/>
          </w:tcPr>
          <w:p w14:paraId="0DB2D66F" w14:textId="77777777" w:rsidR="0023288C" w:rsidRPr="00AD4B4F" w:rsidRDefault="00202916">
            <w:pPr>
              <w:keepNext/>
              <w:widowControl w:val="0"/>
              <w:spacing w:after="0" w:line="240" w:lineRule="auto"/>
              <w:jc w:val="center"/>
              <w:rPr>
                <w:b/>
                <w:vanish/>
              </w:rPr>
            </w:pPr>
            <w:r w:rsidRPr="00AD4B4F">
              <w:rPr>
                <w:b/>
                <w:vanish/>
              </w:rPr>
              <w:t>Cost</w:t>
            </w:r>
          </w:p>
        </w:tc>
      </w:tr>
      <w:tr w:rsidR="0023288C" w:rsidRPr="00AD4B4F" w14:paraId="67B696D4" w14:textId="77777777">
        <w:trPr>
          <w:cantSplit/>
        </w:trPr>
        <w:tc>
          <w:tcPr>
            <w:tcW w:w="4392" w:type="dxa"/>
          </w:tcPr>
          <w:p w14:paraId="43830984" w14:textId="77777777" w:rsidR="0023288C" w:rsidRPr="00AD4B4F" w:rsidRDefault="00202916">
            <w:pPr>
              <w:keepNext/>
              <w:spacing w:after="0" w:line="240" w:lineRule="auto"/>
            </w:pPr>
            <w:r w:rsidRPr="00AD4B4F">
              <w:t>Parcels Acquired</w:t>
            </w:r>
          </w:p>
        </w:tc>
        <w:tc>
          <w:tcPr>
            <w:tcW w:w="2314" w:type="dxa"/>
          </w:tcPr>
          <w:p w14:paraId="1510D962" w14:textId="14CEE1A4" w:rsidR="0023288C" w:rsidRPr="00280783" w:rsidRDefault="00280783">
            <w:pPr>
              <w:keepNext/>
              <w:widowControl w:val="0"/>
              <w:spacing w:after="0" w:line="240" w:lineRule="auto"/>
              <w:rPr>
                <w:bCs/>
                <w:vanish/>
              </w:rPr>
            </w:pPr>
            <w:r w:rsidRPr="00280783">
              <w:rPr>
                <w:bCs/>
              </w:rPr>
              <w:t>2</w:t>
            </w:r>
          </w:p>
        </w:tc>
        <w:tc>
          <w:tcPr>
            <w:tcW w:w="2314" w:type="dxa"/>
          </w:tcPr>
          <w:p w14:paraId="42704291" w14:textId="5DD2832B" w:rsidR="0023288C" w:rsidRPr="00280783" w:rsidRDefault="00280783">
            <w:pPr>
              <w:keepNext/>
              <w:widowControl w:val="0"/>
              <w:spacing w:after="0" w:line="240" w:lineRule="auto"/>
              <w:rPr>
                <w:bCs/>
                <w:vanish/>
              </w:rPr>
            </w:pPr>
            <w:r>
              <w:rPr>
                <w:bCs/>
              </w:rPr>
              <w:t>$27,207.13</w:t>
            </w:r>
          </w:p>
        </w:tc>
      </w:tr>
      <w:tr w:rsidR="0023288C" w:rsidRPr="00AD4B4F" w14:paraId="11F3266D" w14:textId="77777777">
        <w:trPr>
          <w:cantSplit/>
        </w:trPr>
        <w:tc>
          <w:tcPr>
            <w:tcW w:w="4392" w:type="dxa"/>
          </w:tcPr>
          <w:p w14:paraId="62C54145" w14:textId="77777777" w:rsidR="0023288C" w:rsidRPr="00AD4B4F" w:rsidRDefault="00202916">
            <w:pPr>
              <w:keepNext/>
              <w:spacing w:after="0" w:line="240" w:lineRule="auto"/>
            </w:pPr>
            <w:r w:rsidRPr="00AD4B4F">
              <w:t>Businesses Displaced</w:t>
            </w:r>
          </w:p>
        </w:tc>
        <w:tc>
          <w:tcPr>
            <w:tcW w:w="2314" w:type="dxa"/>
          </w:tcPr>
          <w:p w14:paraId="4465D061" w14:textId="68C01F12" w:rsidR="0023288C" w:rsidRPr="00AD4B4F" w:rsidRDefault="00D146F6">
            <w:pPr>
              <w:keepNext/>
              <w:widowControl w:val="0"/>
              <w:spacing w:after="0" w:line="240" w:lineRule="auto"/>
              <w:rPr>
                <w:b/>
                <w:vanish/>
              </w:rPr>
            </w:pPr>
            <w:r w:rsidRPr="00AD4B4F">
              <w:rPr>
                <w:b/>
                <w:vanish/>
              </w:rPr>
              <w:t>0</w:t>
            </w:r>
          </w:p>
        </w:tc>
        <w:tc>
          <w:tcPr>
            <w:tcW w:w="2314" w:type="dxa"/>
          </w:tcPr>
          <w:p w14:paraId="10F7EAB0" w14:textId="77777777" w:rsidR="0023288C" w:rsidRPr="00AD4B4F" w:rsidRDefault="0023288C">
            <w:pPr>
              <w:keepNext/>
              <w:widowControl w:val="0"/>
              <w:spacing w:after="0" w:line="240" w:lineRule="auto"/>
              <w:rPr>
                <w:b/>
                <w:vanish/>
              </w:rPr>
            </w:pPr>
          </w:p>
        </w:tc>
      </w:tr>
      <w:tr w:rsidR="0023288C" w:rsidRPr="00AD4B4F" w14:paraId="48456900" w14:textId="77777777">
        <w:trPr>
          <w:cantSplit/>
        </w:trPr>
        <w:tc>
          <w:tcPr>
            <w:tcW w:w="4392" w:type="dxa"/>
          </w:tcPr>
          <w:p w14:paraId="3815D7D3" w14:textId="77777777" w:rsidR="0023288C" w:rsidRPr="00AD4B4F" w:rsidRDefault="00202916">
            <w:pPr>
              <w:keepNext/>
              <w:spacing w:after="0" w:line="240" w:lineRule="auto"/>
            </w:pPr>
            <w:r w:rsidRPr="00AD4B4F">
              <w:t>Nonprofit Organizations Displaced</w:t>
            </w:r>
          </w:p>
        </w:tc>
        <w:tc>
          <w:tcPr>
            <w:tcW w:w="2314" w:type="dxa"/>
          </w:tcPr>
          <w:p w14:paraId="39058448" w14:textId="2D74E8EE" w:rsidR="0023288C" w:rsidRPr="00AD4B4F" w:rsidRDefault="00D146F6">
            <w:pPr>
              <w:keepNext/>
              <w:widowControl w:val="0"/>
              <w:spacing w:after="0" w:line="240" w:lineRule="auto"/>
              <w:rPr>
                <w:b/>
                <w:vanish/>
              </w:rPr>
            </w:pPr>
            <w:r w:rsidRPr="00AD4B4F">
              <w:rPr>
                <w:b/>
                <w:vanish/>
              </w:rPr>
              <w:t>0</w:t>
            </w:r>
          </w:p>
        </w:tc>
        <w:tc>
          <w:tcPr>
            <w:tcW w:w="2314" w:type="dxa"/>
          </w:tcPr>
          <w:p w14:paraId="23B094B3" w14:textId="77777777" w:rsidR="0023288C" w:rsidRPr="00AD4B4F" w:rsidRDefault="0023288C">
            <w:pPr>
              <w:keepNext/>
              <w:widowControl w:val="0"/>
              <w:spacing w:after="0" w:line="240" w:lineRule="auto"/>
              <w:rPr>
                <w:b/>
                <w:vanish/>
              </w:rPr>
            </w:pPr>
          </w:p>
        </w:tc>
      </w:tr>
      <w:tr w:rsidR="0023288C" w:rsidRPr="00AD4B4F" w14:paraId="34367032" w14:textId="77777777">
        <w:trPr>
          <w:cantSplit/>
        </w:trPr>
        <w:tc>
          <w:tcPr>
            <w:tcW w:w="4392" w:type="dxa"/>
          </w:tcPr>
          <w:p w14:paraId="29D9F3E7" w14:textId="77777777" w:rsidR="0023288C" w:rsidRPr="00AD4B4F" w:rsidRDefault="00202916">
            <w:pPr>
              <w:keepNext/>
              <w:spacing w:after="0" w:line="240" w:lineRule="auto"/>
            </w:pPr>
            <w:r w:rsidRPr="00AD4B4F">
              <w:t>Households Temporarily Relocated, not Displaced</w:t>
            </w:r>
          </w:p>
        </w:tc>
        <w:tc>
          <w:tcPr>
            <w:tcW w:w="2314" w:type="dxa"/>
          </w:tcPr>
          <w:p w14:paraId="296EA2A9" w14:textId="7918C1CF" w:rsidR="0023288C" w:rsidRPr="00AD4B4F" w:rsidRDefault="00D146F6">
            <w:pPr>
              <w:keepNext/>
              <w:widowControl w:val="0"/>
              <w:spacing w:after="0" w:line="240" w:lineRule="auto"/>
              <w:rPr>
                <w:b/>
                <w:vanish/>
              </w:rPr>
            </w:pPr>
            <w:r w:rsidRPr="00AD4B4F">
              <w:rPr>
                <w:b/>
                <w:vanish/>
              </w:rPr>
              <w:t>0</w:t>
            </w:r>
          </w:p>
        </w:tc>
        <w:tc>
          <w:tcPr>
            <w:tcW w:w="2314" w:type="dxa"/>
          </w:tcPr>
          <w:p w14:paraId="1462FAA6" w14:textId="77777777" w:rsidR="0023288C" w:rsidRPr="00AD4B4F" w:rsidRDefault="0023288C">
            <w:pPr>
              <w:keepNext/>
              <w:widowControl w:val="0"/>
              <w:spacing w:after="0" w:line="240" w:lineRule="auto"/>
              <w:rPr>
                <w:b/>
                <w:vanish/>
              </w:rPr>
            </w:pPr>
          </w:p>
        </w:tc>
      </w:tr>
    </w:tbl>
    <w:p w14:paraId="277B095B" w14:textId="77777777" w:rsidR="0023288C" w:rsidRPr="00AD4B4F" w:rsidRDefault="0023288C">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23288C" w:rsidRPr="00AD4B4F" w14:paraId="0D01CE40" w14:textId="77777777">
        <w:trPr>
          <w:cantSplit/>
        </w:trPr>
        <w:tc>
          <w:tcPr>
            <w:tcW w:w="1572" w:type="dxa"/>
            <w:vMerge w:val="restart"/>
          </w:tcPr>
          <w:p w14:paraId="36229DB5" w14:textId="77777777" w:rsidR="0023288C" w:rsidRPr="00AD4B4F" w:rsidRDefault="00202916">
            <w:pPr>
              <w:keepNext/>
              <w:widowControl w:val="0"/>
              <w:spacing w:after="0" w:line="240" w:lineRule="auto"/>
              <w:jc w:val="center"/>
              <w:rPr>
                <w:b/>
              </w:rPr>
            </w:pPr>
            <w:r w:rsidRPr="00AD4B4F">
              <w:rPr>
                <w:b/>
              </w:rPr>
              <w:t>Households Displaced</w:t>
            </w:r>
          </w:p>
        </w:tc>
        <w:tc>
          <w:tcPr>
            <w:tcW w:w="800" w:type="dxa"/>
            <w:vMerge w:val="restart"/>
          </w:tcPr>
          <w:p w14:paraId="690904B0" w14:textId="77777777" w:rsidR="0023288C" w:rsidRPr="00AD4B4F" w:rsidRDefault="00202916">
            <w:pPr>
              <w:keepNext/>
              <w:widowControl w:val="0"/>
              <w:spacing w:after="0" w:line="240" w:lineRule="auto"/>
              <w:jc w:val="center"/>
              <w:rPr>
                <w:b/>
              </w:rPr>
            </w:pPr>
            <w:r w:rsidRPr="00AD4B4F">
              <w:rPr>
                <w:b/>
              </w:rPr>
              <w:t>Total</w:t>
            </w:r>
          </w:p>
        </w:tc>
        <w:tc>
          <w:tcPr>
            <w:tcW w:w="5767" w:type="dxa"/>
            <w:gridSpan w:val="4"/>
          </w:tcPr>
          <w:p w14:paraId="1A05CF46" w14:textId="77777777" w:rsidR="0023288C" w:rsidRPr="00AD4B4F" w:rsidRDefault="00202916">
            <w:pPr>
              <w:keepNext/>
              <w:widowControl w:val="0"/>
              <w:spacing w:after="0" w:line="240" w:lineRule="auto"/>
              <w:jc w:val="center"/>
              <w:rPr>
                <w:b/>
              </w:rPr>
            </w:pPr>
            <w:r w:rsidRPr="00AD4B4F">
              <w:rPr>
                <w:b/>
              </w:rPr>
              <w:t>Minority Property Enterprises</w:t>
            </w:r>
          </w:p>
        </w:tc>
        <w:tc>
          <w:tcPr>
            <w:tcW w:w="1437" w:type="dxa"/>
            <w:vMerge w:val="restart"/>
          </w:tcPr>
          <w:p w14:paraId="6BED6327" w14:textId="77777777" w:rsidR="0023288C" w:rsidRPr="00AD4B4F" w:rsidRDefault="00202916">
            <w:pPr>
              <w:keepNext/>
              <w:widowControl w:val="0"/>
              <w:spacing w:after="0" w:line="240" w:lineRule="auto"/>
              <w:jc w:val="center"/>
              <w:rPr>
                <w:b/>
              </w:rPr>
            </w:pPr>
            <w:r w:rsidRPr="00AD4B4F">
              <w:rPr>
                <w:b/>
              </w:rPr>
              <w:t>White Non-Hispanic</w:t>
            </w:r>
          </w:p>
        </w:tc>
      </w:tr>
      <w:tr w:rsidR="0023288C" w:rsidRPr="00AD4B4F" w14:paraId="555CB792" w14:textId="77777777">
        <w:trPr>
          <w:cantSplit/>
        </w:trPr>
        <w:tc>
          <w:tcPr>
            <w:tcW w:w="1572" w:type="dxa"/>
            <w:vMerge/>
          </w:tcPr>
          <w:p w14:paraId="19522320" w14:textId="77777777" w:rsidR="0023288C" w:rsidRPr="00AD4B4F" w:rsidRDefault="0023288C">
            <w:pPr>
              <w:keepNext/>
              <w:widowControl w:val="0"/>
              <w:spacing w:after="0" w:line="240" w:lineRule="auto"/>
              <w:jc w:val="center"/>
              <w:rPr>
                <w:b/>
              </w:rPr>
            </w:pPr>
          </w:p>
        </w:tc>
        <w:tc>
          <w:tcPr>
            <w:tcW w:w="800" w:type="dxa"/>
            <w:vMerge/>
          </w:tcPr>
          <w:p w14:paraId="7F1A4D1A" w14:textId="77777777" w:rsidR="0023288C" w:rsidRPr="00AD4B4F" w:rsidRDefault="0023288C">
            <w:pPr>
              <w:keepNext/>
              <w:widowControl w:val="0"/>
              <w:spacing w:after="0" w:line="240" w:lineRule="auto"/>
              <w:jc w:val="center"/>
              <w:rPr>
                <w:b/>
              </w:rPr>
            </w:pPr>
          </w:p>
        </w:tc>
        <w:tc>
          <w:tcPr>
            <w:tcW w:w="1495" w:type="dxa"/>
          </w:tcPr>
          <w:p w14:paraId="2F0CCD6A" w14:textId="77777777" w:rsidR="0023288C" w:rsidRPr="00AD4B4F" w:rsidRDefault="00202916">
            <w:pPr>
              <w:keepNext/>
              <w:widowControl w:val="0"/>
              <w:jc w:val="center"/>
              <w:rPr>
                <w:b/>
              </w:rPr>
            </w:pPr>
            <w:r w:rsidRPr="00AD4B4F">
              <w:rPr>
                <w:b/>
              </w:rPr>
              <w:t>Alaskan Native or American Indian</w:t>
            </w:r>
          </w:p>
        </w:tc>
        <w:tc>
          <w:tcPr>
            <w:tcW w:w="1399" w:type="dxa"/>
          </w:tcPr>
          <w:p w14:paraId="193135CD" w14:textId="77777777" w:rsidR="0023288C" w:rsidRPr="00AD4B4F" w:rsidRDefault="00202916">
            <w:pPr>
              <w:keepNext/>
              <w:widowControl w:val="0"/>
              <w:ind w:right="-28"/>
              <w:jc w:val="center"/>
              <w:rPr>
                <w:b/>
              </w:rPr>
            </w:pPr>
            <w:r w:rsidRPr="00AD4B4F">
              <w:rPr>
                <w:b/>
              </w:rPr>
              <w:t>Asian or Pacific Islander</w:t>
            </w:r>
          </w:p>
        </w:tc>
        <w:tc>
          <w:tcPr>
            <w:tcW w:w="1437" w:type="dxa"/>
          </w:tcPr>
          <w:p w14:paraId="0FE9A83B" w14:textId="77777777" w:rsidR="0023288C" w:rsidRPr="00AD4B4F" w:rsidRDefault="00202916">
            <w:pPr>
              <w:keepNext/>
              <w:widowControl w:val="0"/>
              <w:jc w:val="center"/>
              <w:rPr>
                <w:b/>
              </w:rPr>
            </w:pPr>
            <w:r w:rsidRPr="00AD4B4F">
              <w:rPr>
                <w:b/>
              </w:rPr>
              <w:t>Black Non-Hispanic</w:t>
            </w:r>
          </w:p>
        </w:tc>
        <w:tc>
          <w:tcPr>
            <w:tcW w:w="1436" w:type="dxa"/>
          </w:tcPr>
          <w:p w14:paraId="11E7A01A" w14:textId="77777777" w:rsidR="0023288C" w:rsidRPr="00AD4B4F" w:rsidRDefault="00202916">
            <w:pPr>
              <w:keepNext/>
              <w:widowControl w:val="0"/>
              <w:jc w:val="center"/>
              <w:rPr>
                <w:b/>
              </w:rPr>
            </w:pPr>
            <w:r w:rsidRPr="00AD4B4F">
              <w:rPr>
                <w:b/>
              </w:rPr>
              <w:t>Hispanic</w:t>
            </w:r>
          </w:p>
        </w:tc>
        <w:tc>
          <w:tcPr>
            <w:tcW w:w="1437" w:type="dxa"/>
            <w:vMerge/>
          </w:tcPr>
          <w:p w14:paraId="7DF5AF8D" w14:textId="77777777" w:rsidR="0023288C" w:rsidRPr="00AD4B4F" w:rsidRDefault="0023288C">
            <w:pPr>
              <w:keepNext/>
              <w:widowControl w:val="0"/>
              <w:spacing w:after="0" w:line="240" w:lineRule="auto"/>
              <w:jc w:val="center"/>
              <w:rPr>
                <w:b/>
              </w:rPr>
            </w:pPr>
          </w:p>
        </w:tc>
      </w:tr>
      <w:tr w:rsidR="0023288C" w:rsidRPr="00AD4B4F" w14:paraId="0CC69569" w14:textId="77777777">
        <w:trPr>
          <w:cantSplit/>
        </w:trPr>
        <w:tc>
          <w:tcPr>
            <w:tcW w:w="1572" w:type="dxa"/>
          </w:tcPr>
          <w:p w14:paraId="60FB45E9" w14:textId="77777777" w:rsidR="0023288C" w:rsidRPr="00AD4B4F" w:rsidRDefault="00202916">
            <w:pPr>
              <w:keepNext/>
              <w:widowControl w:val="0"/>
              <w:spacing w:after="0" w:line="240" w:lineRule="auto"/>
              <w:rPr>
                <w:b/>
              </w:rPr>
            </w:pPr>
            <w:r w:rsidRPr="00AD4B4F">
              <w:t>Number</w:t>
            </w:r>
          </w:p>
        </w:tc>
        <w:tc>
          <w:tcPr>
            <w:tcW w:w="800" w:type="dxa"/>
          </w:tcPr>
          <w:p w14:paraId="22B5EEBD" w14:textId="45D009C0" w:rsidR="0023288C" w:rsidRPr="00AD4B4F" w:rsidRDefault="00D146F6">
            <w:pPr>
              <w:keepNext/>
              <w:widowControl w:val="0"/>
              <w:spacing w:after="0" w:line="240" w:lineRule="auto"/>
              <w:rPr>
                <w:b/>
              </w:rPr>
            </w:pPr>
            <w:r w:rsidRPr="00AD4B4F">
              <w:rPr>
                <w:b/>
              </w:rPr>
              <w:t>0</w:t>
            </w:r>
          </w:p>
        </w:tc>
        <w:tc>
          <w:tcPr>
            <w:tcW w:w="1495" w:type="dxa"/>
          </w:tcPr>
          <w:p w14:paraId="38947C23" w14:textId="77777777" w:rsidR="0023288C" w:rsidRPr="00AD4B4F" w:rsidRDefault="0023288C">
            <w:pPr>
              <w:keepNext/>
              <w:widowControl w:val="0"/>
              <w:spacing w:after="0" w:line="240" w:lineRule="auto"/>
              <w:rPr>
                <w:b/>
              </w:rPr>
            </w:pPr>
          </w:p>
        </w:tc>
        <w:tc>
          <w:tcPr>
            <w:tcW w:w="1399" w:type="dxa"/>
          </w:tcPr>
          <w:p w14:paraId="336B1C63" w14:textId="77777777" w:rsidR="0023288C" w:rsidRPr="00AD4B4F" w:rsidRDefault="0023288C">
            <w:pPr>
              <w:keepNext/>
              <w:widowControl w:val="0"/>
              <w:spacing w:after="0" w:line="240" w:lineRule="auto"/>
              <w:rPr>
                <w:b/>
              </w:rPr>
            </w:pPr>
          </w:p>
        </w:tc>
        <w:tc>
          <w:tcPr>
            <w:tcW w:w="1437" w:type="dxa"/>
          </w:tcPr>
          <w:p w14:paraId="2F2CDB5B" w14:textId="77777777" w:rsidR="0023288C" w:rsidRPr="00AD4B4F" w:rsidRDefault="0023288C">
            <w:pPr>
              <w:keepNext/>
              <w:widowControl w:val="0"/>
              <w:spacing w:after="0" w:line="240" w:lineRule="auto"/>
              <w:rPr>
                <w:b/>
              </w:rPr>
            </w:pPr>
          </w:p>
        </w:tc>
        <w:tc>
          <w:tcPr>
            <w:tcW w:w="1436" w:type="dxa"/>
          </w:tcPr>
          <w:p w14:paraId="66E80048" w14:textId="77777777" w:rsidR="0023288C" w:rsidRPr="00AD4B4F" w:rsidRDefault="0023288C">
            <w:pPr>
              <w:keepNext/>
              <w:widowControl w:val="0"/>
              <w:spacing w:after="0" w:line="240" w:lineRule="auto"/>
              <w:rPr>
                <w:b/>
              </w:rPr>
            </w:pPr>
          </w:p>
        </w:tc>
        <w:tc>
          <w:tcPr>
            <w:tcW w:w="1437" w:type="dxa"/>
          </w:tcPr>
          <w:p w14:paraId="6D5FBC45" w14:textId="77777777" w:rsidR="0023288C" w:rsidRPr="00AD4B4F" w:rsidRDefault="0023288C">
            <w:pPr>
              <w:keepNext/>
              <w:widowControl w:val="0"/>
              <w:spacing w:after="0" w:line="240" w:lineRule="auto"/>
              <w:rPr>
                <w:b/>
              </w:rPr>
            </w:pPr>
          </w:p>
        </w:tc>
      </w:tr>
      <w:tr w:rsidR="0023288C" w:rsidRPr="00AD4B4F" w14:paraId="3054CB70" w14:textId="77777777">
        <w:trPr>
          <w:cantSplit/>
        </w:trPr>
        <w:tc>
          <w:tcPr>
            <w:tcW w:w="1572" w:type="dxa"/>
          </w:tcPr>
          <w:p w14:paraId="395E97D0" w14:textId="77777777" w:rsidR="0023288C" w:rsidRPr="00AD4B4F" w:rsidRDefault="00202916">
            <w:pPr>
              <w:keepNext/>
              <w:widowControl w:val="0"/>
              <w:spacing w:after="0" w:line="240" w:lineRule="auto"/>
            </w:pPr>
            <w:r w:rsidRPr="00AD4B4F">
              <w:t>Cost</w:t>
            </w:r>
          </w:p>
        </w:tc>
        <w:tc>
          <w:tcPr>
            <w:tcW w:w="800" w:type="dxa"/>
          </w:tcPr>
          <w:p w14:paraId="7CF2E904" w14:textId="5912E5C9" w:rsidR="0023288C" w:rsidRPr="00AD4B4F" w:rsidRDefault="00D146F6">
            <w:pPr>
              <w:keepNext/>
              <w:widowControl w:val="0"/>
              <w:spacing w:after="0" w:line="240" w:lineRule="auto"/>
              <w:rPr>
                <w:b/>
              </w:rPr>
            </w:pPr>
            <w:r w:rsidRPr="00AD4B4F">
              <w:rPr>
                <w:b/>
              </w:rPr>
              <w:t>0</w:t>
            </w:r>
          </w:p>
        </w:tc>
        <w:tc>
          <w:tcPr>
            <w:tcW w:w="1495" w:type="dxa"/>
          </w:tcPr>
          <w:p w14:paraId="0DE23239" w14:textId="77777777" w:rsidR="0023288C" w:rsidRPr="00AD4B4F" w:rsidRDefault="0023288C">
            <w:pPr>
              <w:keepNext/>
              <w:widowControl w:val="0"/>
              <w:spacing w:after="0" w:line="240" w:lineRule="auto"/>
              <w:rPr>
                <w:b/>
              </w:rPr>
            </w:pPr>
          </w:p>
        </w:tc>
        <w:tc>
          <w:tcPr>
            <w:tcW w:w="1399" w:type="dxa"/>
          </w:tcPr>
          <w:p w14:paraId="39AD5A3F" w14:textId="77777777" w:rsidR="0023288C" w:rsidRPr="00AD4B4F" w:rsidRDefault="0023288C">
            <w:pPr>
              <w:keepNext/>
              <w:widowControl w:val="0"/>
              <w:spacing w:after="0" w:line="240" w:lineRule="auto"/>
              <w:rPr>
                <w:b/>
              </w:rPr>
            </w:pPr>
          </w:p>
        </w:tc>
        <w:tc>
          <w:tcPr>
            <w:tcW w:w="1437" w:type="dxa"/>
          </w:tcPr>
          <w:p w14:paraId="4A6BFCCD" w14:textId="77777777" w:rsidR="0023288C" w:rsidRPr="00AD4B4F" w:rsidRDefault="0023288C">
            <w:pPr>
              <w:keepNext/>
              <w:widowControl w:val="0"/>
              <w:spacing w:after="0" w:line="240" w:lineRule="auto"/>
              <w:rPr>
                <w:b/>
              </w:rPr>
            </w:pPr>
          </w:p>
        </w:tc>
        <w:tc>
          <w:tcPr>
            <w:tcW w:w="1436" w:type="dxa"/>
          </w:tcPr>
          <w:p w14:paraId="2BCE1D1D" w14:textId="77777777" w:rsidR="0023288C" w:rsidRPr="00AD4B4F" w:rsidRDefault="0023288C">
            <w:pPr>
              <w:keepNext/>
              <w:widowControl w:val="0"/>
              <w:spacing w:after="0" w:line="240" w:lineRule="auto"/>
              <w:rPr>
                <w:b/>
              </w:rPr>
            </w:pPr>
          </w:p>
        </w:tc>
        <w:tc>
          <w:tcPr>
            <w:tcW w:w="1437" w:type="dxa"/>
          </w:tcPr>
          <w:p w14:paraId="1D3FB6CE" w14:textId="77777777" w:rsidR="0023288C" w:rsidRPr="00AD4B4F" w:rsidRDefault="0023288C">
            <w:pPr>
              <w:keepNext/>
              <w:widowControl w:val="0"/>
              <w:spacing w:after="0" w:line="240" w:lineRule="auto"/>
              <w:rPr>
                <w:b/>
              </w:rPr>
            </w:pPr>
          </w:p>
        </w:tc>
      </w:tr>
    </w:tbl>
    <w:p w14:paraId="400D4FEB" w14:textId="38CA20CD"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10</w:t>
      </w:r>
      <w:r w:rsidRPr="00AD4B4F">
        <w:rPr>
          <w:rFonts w:asciiTheme="minorHAnsi" w:hAnsiTheme="minorHAnsi"/>
        </w:rPr>
        <w:fldChar w:fldCharType="end"/>
      </w:r>
      <w:r w:rsidRPr="00AD4B4F">
        <w:rPr>
          <w:rFonts w:asciiTheme="minorHAnsi" w:hAnsiTheme="minorHAnsi"/>
        </w:rPr>
        <w:t xml:space="preserve"> – Relocation and Real Property Acquisition</w:t>
      </w:r>
    </w:p>
    <w:p w14:paraId="59BFC81B" w14:textId="77777777" w:rsidR="0023288C" w:rsidRPr="00AD4B4F" w:rsidRDefault="0023288C">
      <w:pPr>
        <w:spacing w:after="0" w:line="240" w:lineRule="auto"/>
        <w:rPr>
          <w:b/>
        </w:rPr>
      </w:pPr>
    </w:p>
    <w:p w14:paraId="2D6C9691" w14:textId="77777777" w:rsidR="0023288C" w:rsidRPr="00AD4B4F" w:rsidRDefault="0023288C">
      <w:pPr>
        <w:spacing w:after="0" w:line="240" w:lineRule="auto"/>
        <w:rPr>
          <w:b/>
        </w:rPr>
      </w:pPr>
    </w:p>
    <w:p w14:paraId="39D8FB96" w14:textId="77777777" w:rsidR="0023288C" w:rsidRPr="00AD4B4F" w:rsidRDefault="0023288C">
      <w:pPr>
        <w:widowControl w:val="0"/>
        <w:spacing w:after="0" w:line="240" w:lineRule="auto"/>
        <w:rPr>
          <w:sz w:val="24"/>
          <w:szCs w:val="24"/>
        </w:rPr>
      </w:pPr>
    </w:p>
    <w:p w14:paraId="54388B33" w14:textId="77777777" w:rsidR="0023288C" w:rsidRPr="00AD4B4F" w:rsidRDefault="0023288C">
      <w:pPr>
        <w:spacing w:after="0" w:line="240" w:lineRule="auto"/>
      </w:pPr>
      <w:bookmarkStart w:id="4" w:name="_Toc309810475"/>
    </w:p>
    <w:p w14:paraId="1840F7F9" w14:textId="77777777" w:rsidR="0023288C" w:rsidRPr="00AD4B4F" w:rsidRDefault="0023288C">
      <w:pPr>
        <w:sectPr w:rsidR="0023288C" w:rsidRPr="00AD4B4F">
          <w:pgSz w:w="12240" w:h="15840" w:code="1"/>
          <w:pgMar w:top="1440" w:right="1440" w:bottom="1440" w:left="1440" w:header="720" w:footer="720" w:gutter="0"/>
          <w:cols w:space="720"/>
          <w:docGrid w:linePitch="360"/>
        </w:sectPr>
      </w:pPr>
    </w:p>
    <w:p w14:paraId="0F75DA23" w14:textId="77777777" w:rsidR="0023288C" w:rsidRPr="00AD4B4F" w:rsidRDefault="00202916">
      <w:pPr>
        <w:pStyle w:val="Heading2"/>
        <w:rPr>
          <w:rFonts w:ascii="Calibri" w:hAnsi="Calibri"/>
          <w:i w:val="0"/>
        </w:rPr>
      </w:pPr>
      <w:bookmarkStart w:id="5" w:name="_Toc127268196"/>
      <w:r w:rsidRPr="00AD4B4F">
        <w:rPr>
          <w:rFonts w:ascii="Calibri" w:hAnsi="Calibri"/>
          <w:i w:val="0"/>
        </w:rPr>
        <w:lastRenderedPageBreak/>
        <w:t>CR-20 - Affordable Housing 91.520(b)</w:t>
      </w:r>
      <w:bookmarkEnd w:id="5"/>
    </w:p>
    <w:p w14:paraId="373E198D" w14:textId="77777777" w:rsidR="0023288C" w:rsidRPr="00AD4B4F" w:rsidRDefault="00202916">
      <w:pPr>
        <w:keepNext/>
        <w:widowControl w:val="0"/>
        <w:spacing w:after="0" w:line="240" w:lineRule="auto"/>
        <w:rPr>
          <w:b/>
          <w:sz w:val="24"/>
          <w:szCs w:val="24"/>
        </w:rPr>
      </w:pPr>
      <w:r w:rsidRPr="00AD4B4F">
        <w:rPr>
          <w:b/>
          <w:sz w:val="24"/>
          <w:szCs w:val="24"/>
        </w:rPr>
        <w:t>Evaluation of the jurisdiction's progress in providing affordable housing, including the number and types of families served, the number of extremely low-income, low-income, moderate-income, and middle-income persons served.</w:t>
      </w:r>
    </w:p>
    <w:p w14:paraId="64670FD6" w14:textId="77777777" w:rsidR="0023288C" w:rsidRPr="00AD4B4F" w:rsidRDefault="0023288C">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23288C" w:rsidRPr="00AD4B4F" w14:paraId="060C55A8" w14:textId="77777777">
        <w:trPr>
          <w:cantSplit/>
          <w:tblHeader/>
        </w:trPr>
        <w:tc>
          <w:tcPr>
            <w:tcW w:w="4293" w:type="dxa"/>
          </w:tcPr>
          <w:p w14:paraId="60D767DF" w14:textId="77777777" w:rsidR="0023288C" w:rsidRPr="00AD4B4F" w:rsidRDefault="0023288C">
            <w:pPr>
              <w:pStyle w:val="Caption"/>
              <w:keepNext/>
              <w:widowControl w:val="0"/>
              <w:jc w:val="center"/>
              <w:rPr>
                <w:rFonts w:ascii="Calibri" w:hAnsi="Calibri"/>
                <w:sz w:val="22"/>
                <w:szCs w:val="22"/>
              </w:rPr>
            </w:pPr>
          </w:p>
        </w:tc>
        <w:tc>
          <w:tcPr>
            <w:tcW w:w="2648" w:type="dxa"/>
          </w:tcPr>
          <w:p w14:paraId="42B8BBC4" w14:textId="77777777" w:rsidR="0023288C" w:rsidRPr="00AD4B4F" w:rsidRDefault="00202916">
            <w:pPr>
              <w:pStyle w:val="Caption"/>
              <w:keepNext/>
              <w:widowControl w:val="0"/>
              <w:jc w:val="center"/>
              <w:rPr>
                <w:rFonts w:ascii="Calibri" w:hAnsi="Calibri"/>
                <w:sz w:val="22"/>
                <w:szCs w:val="22"/>
              </w:rPr>
            </w:pPr>
            <w:r w:rsidRPr="00AD4B4F">
              <w:rPr>
                <w:rFonts w:ascii="Calibri" w:hAnsi="Calibri"/>
                <w:sz w:val="22"/>
                <w:szCs w:val="22"/>
              </w:rPr>
              <w:t>One-Year Goal</w:t>
            </w:r>
          </w:p>
        </w:tc>
        <w:tc>
          <w:tcPr>
            <w:tcW w:w="2649" w:type="dxa"/>
          </w:tcPr>
          <w:p w14:paraId="44081B4E" w14:textId="77777777" w:rsidR="0023288C" w:rsidRPr="00AD4B4F" w:rsidRDefault="00202916">
            <w:pPr>
              <w:pStyle w:val="Caption"/>
              <w:keepNext/>
              <w:widowControl w:val="0"/>
              <w:jc w:val="center"/>
              <w:rPr>
                <w:rFonts w:ascii="Calibri" w:hAnsi="Calibri"/>
                <w:sz w:val="22"/>
                <w:szCs w:val="22"/>
              </w:rPr>
            </w:pPr>
            <w:r w:rsidRPr="00AD4B4F">
              <w:rPr>
                <w:rFonts w:ascii="Calibri" w:hAnsi="Calibri"/>
                <w:sz w:val="22"/>
                <w:szCs w:val="22"/>
              </w:rPr>
              <w:t>Actual</w:t>
            </w:r>
          </w:p>
        </w:tc>
      </w:tr>
      <w:tr w:rsidR="0023288C" w:rsidRPr="00AD4B4F" w14:paraId="44E2AD18" w14:textId="77777777">
        <w:trPr>
          <w:cantSplit/>
        </w:trPr>
        <w:tc>
          <w:tcPr>
            <w:tcW w:w="4293" w:type="dxa"/>
            <w:vAlign w:val="bottom"/>
          </w:tcPr>
          <w:p w14:paraId="223ECB1A" w14:textId="77777777" w:rsidR="0023288C" w:rsidRPr="00AD4B4F" w:rsidRDefault="00202916">
            <w:pPr>
              <w:spacing w:beforeAutospacing="1" w:afterAutospacing="1"/>
            </w:pPr>
            <w:r w:rsidRPr="00AD4B4F">
              <w:rPr>
                <w:color w:val="000000"/>
              </w:rPr>
              <w:t>Number of Homeless households to be provided affordable housing units</w:t>
            </w:r>
          </w:p>
        </w:tc>
        <w:tc>
          <w:tcPr>
            <w:tcW w:w="2648" w:type="dxa"/>
            <w:vAlign w:val="bottom"/>
          </w:tcPr>
          <w:p w14:paraId="5E025958" w14:textId="77777777" w:rsidR="0023288C" w:rsidRPr="00AD4B4F" w:rsidRDefault="00202916">
            <w:pPr>
              <w:spacing w:beforeAutospacing="1" w:afterAutospacing="1"/>
              <w:jc w:val="right"/>
            </w:pPr>
            <w:r w:rsidRPr="00AD4B4F">
              <w:rPr>
                <w:color w:val="000000"/>
              </w:rPr>
              <w:t>0</w:t>
            </w:r>
          </w:p>
        </w:tc>
        <w:tc>
          <w:tcPr>
            <w:tcW w:w="2649" w:type="dxa"/>
            <w:vAlign w:val="bottom"/>
          </w:tcPr>
          <w:p w14:paraId="1B2A67F4" w14:textId="77777777" w:rsidR="0023288C" w:rsidRPr="00AD4B4F" w:rsidRDefault="00202916">
            <w:pPr>
              <w:spacing w:beforeAutospacing="1" w:afterAutospacing="1"/>
              <w:jc w:val="right"/>
            </w:pPr>
            <w:r w:rsidRPr="00AD4B4F">
              <w:rPr>
                <w:color w:val="000000"/>
              </w:rPr>
              <w:t>0</w:t>
            </w:r>
          </w:p>
        </w:tc>
      </w:tr>
      <w:tr w:rsidR="0023288C" w:rsidRPr="00AD4B4F" w14:paraId="21A3A13B" w14:textId="77777777">
        <w:trPr>
          <w:cantSplit/>
        </w:trPr>
        <w:tc>
          <w:tcPr>
            <w:tcW w:w="4293" w:type="dxa"/>
            <w:vAlign w:val="bottom"/>
          </w:tcPr>
          <w:p w14:paraId="47174710" w14:textId="77777777" w:rsidR="0023288C" w:rsidRPr="00AD4B4F" w:rsidRDefault="00202916">
            <w:pPr>
              <w:spacing w:beforeAutospacing="1" w:afterAutospacing="1"/>
            </w:pPr>
            <w:r w:rsidRPr="00AD4B4F">
              <w:rPr>
                <w:color w:val="000000"/>
              </w:rPr>
              <w:t>Number of Non-Homeless households to be provided affordable housing units</w:t>
            </w:r>
          </w:p>
        </w:tc>
        <w:tc>
          <w:tcPr>
            <w:tcW w:w="2648" w:type="dxa"/>
            <w:vAlign w:val="bottom"/>
          </w:tcPr>
          <w:p w14:paraId="630E0661" w14:textId="77777777" w:rsidR="0023288C" w:rsidRPr="00AD4B4F" w:rsidRDefault="00202916">
            <w:pPr>
              <w:spacing w:beforeAutospacing="1" w:afterAutospacing="1"/>
              <w:jc w:val="right"/>
            </w:pPr>
            <w:r w:rsidRPr="00AD4B4F">
              <w:rPr>
                <w:color w:val="000000"/>
              </w:rPr>
              <w:t>53</w:t>
            </w:r>
          </w:p>
        </w:tc>
        <w:tc>
          <w:tcPr>
            <w:tcW w:w="2649" w:type="dxa"/>
            <w:vAlign w:val="bottom"/>
          </w:tcPr>
          <w:p w14:paraId="2C17A1B7" w14:textId="42A68BBD" w:rsidR="0023288C" w:rsidRPr="00AD4B4F" w:rsidRDefault="00705506">
            <w:pPr>
              <w:spacing w:beforeAutospacing="1" w:afterAutospacing="1"/>
              <w:jc w:val="right"/>
            </w:pPr>
            <w:r>
              <w:rPr>
                <w:color w:val="000000"/>
              </w:rPr>
              <w:t>3</w:t>
            </w:r>
          </w:p>
        </w:tc>
      </w:tr>
      <w:tr w:rsidR="0023288C" w:rsidRPr="00AD4B4F" w14:paraId="75FDF9D2" w14:textId="77777777">
        <w:trPr>
          <w:cantSplit/>
        </w:trPr>
        <w:tc>
          <w:tcPr>
            <w:tcW w:w="4293" w:type="dxa"/>
            <w:vAlign w:val="bottom"/>
          </w:tcPr>
          <w:p w14:paraId="1D6D0D4E" w14:textId="77777777" w:rsidR="0023288C" w:rsidRPr="00AD4B4F" w:rsidRDefault="00202916">
            <w:pPr>
              <w:spacing w:beforeAutospacing="1" w:afterAutospacing="1"/>
            </w:pPr>
            <w:r w:rsidRPr="00AD4B4F">
              <w:rPr>
                <w:color w:val="000000"/>
              </w:rPr>
              <w:t>Number of Special-Needs households to be provided affordable housing units</w:t>
            </w:r>
          </w:p>
        </w:tc>
        <w:tc>
          <w:tcPr>
            <w:tcW w:w="2648" w:type="dxa"/>
            <w:vAlign w:val="bottom"/>
          </w:tcPr>
          <w:p w14:paraId="7BA43E00" w14:textId="77777777" w:rsidR="0023288C" w:rsidRPr="00AD4B4F" w:rsidRDefault="00202916">
            <w:pPr>
              <w:spacing w:beforeAutospacing="1" w:afterAutospacing="1"/>
              <w:jc w:val="right"/>
            </w:pPr>
            <w:r w:rsidRPr="00AD4B4F">
              <w:rPr>
                <w:color w:val="000000"/>
              </w:rPr>
              <w:t>0</w:t>
            </w:r>
          </w:p>
        </w:tc>
        <w:tc>
          <w:tcPr>
            <w:tcW w:w="2649" w:type="dxa"/>
            <w:vAlign w:val="bottom"/>
          </w:tcPr>
          <w:p w14:paraId="66EB8FF1" w14:textId="77777777" w:rsidR="0023288C" w:rsidRPr="00AD4B4F" w:rsidRDefault="00202916">
            <w:pPr>
              <w:spacing w:beforeAutospacing="1" w:afterAutospacing="1"/>
              <w:jc w:val="right"/>
            </w:pPr>
            <w:r w:rsidRPr="00AD4B4F">
              <w:rPr>
                <w:color w:val="000000"/>
              </w:rPr>
              <w:t>0</w:t>
            </w:r>
          </w:p>
        </w:tc>
      </w:tr>
      <w:tr w:rsidR="0023288C" w:rsidRPr="00AD4B4F" w14:paraId="51DC345A" w14:textId="77777777">
        <w:trPr>
          <w:cantSplit/>
        </w:trPr>
        <w:tc>
          <w:tcPr>
            <w:tcW w:w="4293" w:type="dxa"/>
          </w:tcPr>
          <w:p w14:paraId="2B65F55C" w14:textId="77777777" w:rsidR="0023288C" w:rsidRPr="00AD4B4F" w:rsidRDefault="00202916">
            <w:pPr>
              <w:spacing w:beforeAutospacing="1" w:afterAutospacing="1"/>
            </w:pPr>
            <w:r w:rsidRPr="00AD4B4F">
              <w:rPr>
                <w:b/>
                <w:color w:val="000000"/>
              </w:rPr>
              <w:t>Total</w:t>
            </w:r>
          </w:p>
        </w:tc>
        <w:tc>
          <w:tcPr>
            <w:tcW w:w="2648" w:type="dxa"/>
            <w:vAlign w:val="bottom"/>
          </w:tcPr>
          <w:p w14:paraId="01829EDF" w14:textId="77777777" w:rsidR="0023288C" w:rsidRPr="00AD4B4F" w:rsidRDefault="00202916">
            <w:pPr>
              <w:spacing w:beforeAutospacing="1" w:afterAutospacing="1"/>
              <w:jc w:val="right"/>
            </w:pPr>
            <w:r w:rsidRPr="00AD4B4F">
              <w:rPr>
                <w:b/>
                <w:color w:val="000000"/>
              </w:rPr>
              <w:t>53</w:t>
            </w:r>
          </w:p>
        </w:tc>
        <w:tc>
          <w:tcPr>
            <w:tcW w:w="2649" w:type="dxa"/>
            <w:vAlign w:val="bottom"/>
          </w:tcPr>
          <w:p w14:paraId="0B157954" w14:textId="13A6032F" w:rsidR="0023288C" w:rsidRPr="00AD4B4F" w:rsidRDefault="00705506">
            <w:pPr>
              <w:spacing w:beforeAutospacing="1" w:afterAutospacing="1"/>
              <w:jc w:val="right"/>
            </w:pPr>
            <w:r>
              <w:rPr>
                <w:b/>
                <w:color w:val="000000"/>
              </w:rPr>
              <w:t>3</w:t>
            </w:r>
          </w:p>
        </w:tc>
      </w:tr>
    </w:tbl>
    <w:p w14:paraId="07D145D1" w14:textId="48C12D64"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11</w:t>
      </w:r>
      <w:r w:rsidRPr="00AD4B4F">
        <w:rPr>
          <w:rFonts w:asciiTheme="minorHAnsi" w:hAnsiTheme="minorHAnsi"/>
        </w:rPr>
        <w:fldChar w:fldCharType="end"/>
      </w:r>
      <w:r w:rsidRPr="00AD4B4F">
        <w:rPr>
          <w:rFonts w:asciiTheme="minorHAnsi" w:hAnsiTheme="minorHAnsi"/>
        </w:rPr>
        <w:t xml:space="preserve"> – Number of Households</w:t>
      </w:r>
    </w:p>
    <w:p w14:paraId="172359DA" w14:textId="77777777" w:rsidR="0023288C" w:rsidRPr="00AD4B4F" w:rsidRDefault="0023288C">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23288C" w:rsidRPr="00AD4B4F" w14:paraId="5C5B38BE" w14:textId="77777777">
        <w:trPr>
          <w:cantSplit/>
          <w:tblHeader/>
        </w:trPr>
        <w:tc>
          <w:tcPr>
            <w:tcW w:w="4293" w:type="dxa"/>
          </w:tcPr>
          <w:p w14:paraId="423AC37B" w14:textId="77777777" w:rsidR="0023288C" w:rsidRPr="00AD4B4F" w:rsidRDefault="0023288C">
            <w:pPr>
              <w:pStyle w:val="Caption"/>
              <w:keepNext/>
              <w:widowControl w:val="0"/>
              <w:jc w:val="center"/>
              <w:rPr>
                <w:rFonts w:ascii="Calibri" w:hAnsi="Calibri"/>
                <w:sz w:val="22"/>
                <w:szCs w:val="22"/>
              </w:rPr>
            </w:pPr>
          </w:p>
        </w:tc>
        <w:tc>
          <w:tcPr>
            <w:tcW w:w="2648" w:type="dxa"/>
          </w:tcPr>
          <w:p w14:paraId="636A23DE" w14:textId="77777777" w:rsidR="0023288C" w:rsidRPr="00AD4B4F" w:rsidRDefault="00202916">
            <w:pPr>
              <w:pStyle w:val="Caption"/>
              <w:keepNext/>
              <w:widowControl w:val="0"/>
              <w:jc w:val="center"/>
              <w:rPr>
                <w:rFonts w:ascii="Calibri" w:hAnsi="Calibri"/>
                <w:sz w:val="22"/>
                <w:szCs w:val="22"/>
              </w:rPr>
            </w:pPr>
            <w:r w:rsidRPr="00AD4B4F">
              <w:rPr>
                <w:rFonts w:ascii="Calibri" w:hAnsi="Calibri"/>
                <w:sz w:val="22"/>
                <w:szCs w:val="22"/>
              </w:rPr>
              <w:t>One-Year Goal</w:t>
            </w:r>
          </w:p>
        </w:tc>
        <w:tc>
          <w:tcPr>
            <w:tcW w:w="2649" w:type="dxa"/>
          </w:tcPr>
          <w:p w14:paraId="79EEE1D9" w14:textId="77777777" w:rsidR="0023288C" w:rsidRPr="00AD4B4F" w:rsidRDefault="00202916">
            <w:pPr>
              <w:pStyle w:val="Caption"/>
              <w:keepNext/>
              <w:widowControl w:val="0"/>
              <w:jc w:val="center"/>
              <w:rPr>
                <w:rFonts w:ascii="Calibri" w:hAnsi="Calibri"/>
                <w:sz w:val="22"/>
                <w:szCs w:val="22"/>
              </w:rPr>
            </w:pPr>
            <w:r w:rsidRPr="00AD4B4F">
              <w:rPr>
                <w:rFonts w:ascii="Calibri" w:hAnsi="Calibri"/>
                <w:sz w:val="22"/>
                <w:szCs w:val="22"/>
              </w:rPr>
              <w:t>Actual</w:t>
            </w:r>
          </w:p>
        </w:tc>
      </w:tr>
      <w:tr w:rsidR="0023288C" w:rsidRPr="00AD4B4F" w14:paraId="296AD57F" w14:textId="77777777">
        <w:trPr>
          <w:cantSplit/>
        </w:trPr>
        <w:tc>
          <w:tcPr>
            <w:tcW w:w="4293" w:type="dxa"/>
            <w:vAlign w:val="bottom"/>
          </w:tcPr>
          <w:p w14:paraId="329CB50E" w14:textId="77777777" w:rsidR="0023288C" w:rsidRPr="00AD4B4F" w:rsidRDefault="00202916">
            <w:pPr>
              <w:spacing w:beforeAutospacing="1" w:afterAutospacing="1"/>
            </w:pPr>
            <w:r w:rsidRPr="00AD4B4F">
              <w:rPr>
                <w:color w:val="000000"/>
              </w:rPr>
              <w:t>Number of households supported through Rental Assistance</w:t>
            </w:r>
          </w:p>
        </w:tc>
        <w:tc>
          <w:tcPr>
            <w:tcW w:w="2648" w:type="dxa"/>
            <w:vAlign w:val="bottom"/>
          </w:tcPr>
          <w:p w14:paraId="40DAA05E" w14:textId="77777777" w:rsidR="0023288C" w:rsidRPr="00AD4B4F" w:rsidRDefault="00202916">
            <w:pPr>
              <w:spacing w:beforeAutospacing="1" w:afterAutospacing="1"/>
              <w:jc w:val="right"/>
            </w:pPr>
            <w:r w:rsidRPr="00AD4B4F">
              <w:rPr>
                <w:color w:val="000000"/>
              </w:rPr>
              <w:t>0</w:t>
            </w:r>
          </w:p>
        </w:tc>
        <w:tc>
          <w:tcPr>
            <w:tcW w:w="2649" w:type="dxa"/>
            <w:vAlign w:val="bottom"/>
          </w:tcPr>
          <w:p w14:paraId="1E471E87" w14:textId="77777777" w:rsidR="0023288C" w:rsidRPr="00AD4B4F" w:rsidRDefault="00202916">
            <w:pPr>
              <w:spacing w:beforeAutospacing="1" w:afterAutospacing="1"/>
              <w:jc w:val="right"/>
            </w:pPr>
            <w:r w:rsidRPr="00AD4B4F">
              <w:rPr>
                <w:color w:val="000000"/>
              </w:rPr>
              <w:t>0</w:t>
            </w:r>
          </w:p>
        </w:tc>
      </w:tr>
      <w:tr w:rsidR="0023288C" w:rsidRPr="00AD4B4F" w14:paraId="0D585915" w14:textId="77777777">
        <w:trPr>
          <w:cantSplit/>
        </w:trPr>
        <w:tc>
          <w:tcPr>
            <w:tcW w:w="4293" w:type="dxa"/>
            <w:vAlign w:val="bottom"/>
          </w:tcPr>
          <w:p w14:paraId="028D2250" w14:textId="77777777" w:rsidR="0023288C" w:rsidRPr="00AD4B4F" w:rsidRDefault="00202916">
            <w:pPr>
              <w:spacing w:beforeAutospacing="1" w:afterAutospacing="1"/>
            </w:pPr>
            <w:r w:rsidRPr="00AD4B4F">
              <w:rPr>
                <w:color w:val="000000"/>
              </w:rPr>
              <w:t>Number of households supported through The Production of New Units</w:t>
            </w:r>
          </w:p>
        </w:tc>
        <w:tc>
          <w:tcPr>
            <w:tcW w:w="2648" w:type="dxa"/>
            <w:vAlign w:val="bottom"/>
          </w:tcPr>
          <w:p w14:paraId="7B69FAE0" w14:textId="77777777" w:rsidR="0023288C" w:rsidRPr="00AD4B4F" w:rsidRDefault="00202916">
            <w:pPr>
              <w:spacing w:beforeAutospacing="1" w:afterAutospacing="1"/>
              <w:jc w:val="right"/>
            </w:pPr>
            <w:r w:rsidRPr="00AD4B4F">
              <w:rPr>
                <w:color w:val="000000"/>
              </w:rPr>
              <w:t>50</w:t>
            </w:r>
          </w:p>
        </w:tc>
        <w:tc>
          <w:tcPr>
            <w:tcW w:w="2649" w:type="dxa"/>
            <w:vAlign w:val="bottom"/>
          </w:tcPr>
          <w:p w14:paraId="2BCA5CD6" w14:textId="77777777" w:rsidR="0023288C" w:rsidRPr="00AD4B4F" w:rsidRDefault="00202916">
            <w:pPr>
              <w:spacing w:beforeAutospacing="1" w:afterAutospacing="1"/>
              <w:jc w:val="right"/>
            </w:pPr>
            <w:r w:rsidRPr="00AD4B4F">
              <w:rPr>
                <w:color w:val="000000"/>
              </w:rPr>
              <w:t>0</w:t>
            </w:r>
          </w:p>
        </w:tc>
      </w:tr>
      <w:tr w:rsidR="0023288C" w:rsidRPr="00AD4B4F" w14:paraId="4A6195B9" w14:textId="77777777">
        <w:trPr>
          <w:cantSplit/>
        </w:trPr>
        <w:tc>
          <w:tcPr>
            <w:tcW w:w="4293" w:type="dxa"/>
            <w:vAlign w:val="bottom"/>
          </w:tcPr>
          <w:p w14:paraId="115E3E38" w14:textId="77777777" w:rsidR="0023288C" w:rsidRPr="00AD4B4F" w:rsidRDefault="00202916">
            <w:pPr>
              <w:spacing w:beforeAutospacing="1" w:afterAutospacing="1"/>
            </w:pPr>
            <w:r w:rsidRPr="00AD4B4F">
              <w:rPr>
                <w:color w:val="000000"/>
              </w:rPr>
              <w:t>Number of households supported through Rehab of Existing Units</w:t>
            </w:r>
          </w:p>
        </w:tc>
        <w:tc>
          <w:tcPr>
            <w:tcW w:w="2648" w:type="dxa"/>
            <w:vAlign w:val="bottom"/>
          </w:tcPr>
          <w:p w14:paraId="678597AC" w14:textId="77777777" w:rsidR="0023288C" w:rsidRPr="00AD4B4F" w:rsidRDefault="00202916">
            <w:pPr>
              <w:spacing w:beforeAutospacing="1" w:afterAutospacing="1"/>
              <w:jc w:val="right"/>
            </w:pPr>
            <w:r w:rsidRPr="00AD4B4F">
              <w:rPr>
                <w:color w:val="000000"/>
              </w:rPr>
              <w:t>0</w:t>
            </w:r>
          </w:p>
        </w:tc>
        <w:tc>
          <w:tcPr>
            <w:tcW w:w="2649" w:type="dxa"/>
            <w:vAlign w:val="bottom"/>
          </w:tcPr>
          <w:p w14:paraId="0B189D92" w14:textId="77777777" w:rsidR="0023288C" w:rsidRPr="00AD4B4F" w:rsidRDefault="00202916">
            <w:pPr>
              <w:spacing w:beforeAutospacing="1" w:afterAutospacing="1"/>
              <w:jc w:val="right"/>
            </w:pPr>
            <w:r w:rsidRPr="00AD4B4F">
              <w:rPr>
                <w:color w:val="000000"/>
              </w:rPr>
              <w:t>0</w:t>
            </w:r>
          </w:p>
        </w:tc>
      </w:tr>
      <w:tr w:rsidR="0023288C" w:rsidRPr="00AD4B4F" w14:paraId="418E8517" w14:textId="77777777">
        <w:trPr>
          <w:cantSplit/>
        </w:trPr>
        <w:tc>
          <w:tcPr>
            <w:tcW w:w="4293" w:type="dxa"/>
            <w:vAlign w:val="bottom"/>
          </w:tcPr>
          <w:p w14:paraId="1CB9B014" w14:textId="77777777" w:rsidR="0023288C" w:rsidRPr="00AD4B4F" w:rsidRDefault="00202916">
            <w:pPr>
              <w:spacing w:beforeAutospacing="1" w:afterAutospacing="1"/>
            </w:pPr>
            <w:r w:rsidRPr="00AD4B4F">
              <w:rPr>
                <w:color w:val="000000"/>
              </w:rPr>
              <w:t>Number of households supported through Acquisition of Existing Units</w:t>
            </w:r>
          </w:p>
        </w:tc>
        <w:tc>
          <w:tcPr>
            <w:tcW w:w="2648" w:type="dxa"/>
            <w:vAlign w:val="bottom"/>
          </w:tcPr>
          <w:p w14:paraId="1AA4A8E3" w14:textId="77777777" w:rsidR="0023288C" w:rsidRPr="00AD4B4F" w:rsidRDefault="00202916">
            <w:pPr>
              <w:spacing w:beforeAutospacing="1" w:afterAutospacing="1"/>
              <w:jc w:val="right"/>
            </w:pPr>
            <w:r w:rsidRPr="00AD4B4F">
              <w:rPr>
                <w:color w:val="000000"/>
              </w:rPr>
              <w:t>3</w:t>
            </w:r>
          </w:p>
        </w:tc>
        <w:tc>
          <w:tcPr>
            <w:tcW w:w="2649" w:type="dxa"/>
            <w:vAlign w:val="bottom"/>
          </w:tcPr>
          <w:p w14:paraId="39EFDA17" w14:textId="1C52C545" w:rsidR="0023288C" w:rsidRPr="00AD4B4F" w:rsidRDefault="006D67BD">
            <w:pPr>
              <w:spacing w:beforeAutospacing="1" w:afterAutospacing="1"/>
              <w:jc w:val="right"/>
            </w:pPr>
            <w:r>
              <w:rPr>
                <w:color w:val="000000"/>
              </w:rPr>
              <w:t>3</w:t>
            </w:r>
          </w:p>
        </w:tc>
      </w:tr>
      <w:tr w:rsidR="0023288C" w:rsidRPr="00AD4B4F" w14:paraId="6B7CD977" w14:textId="77777777">
        <w:trPr>
          <w:cantSplit/>
        </w:trPr>
        <w:tc>
          <w:tcPr>
            <w:tcW w:w="4293" w:type="dxa"/>
          </w:tcPr>
          <w:p w14:paraId="139489F1" w14:textId="77777777" w:rsidR="0023288C" w:rsidRPr="00AD4B4F" w:rsidRDefault="00202916">
            <w:pPr>
              <w:spacing w:beforeAutospacing="1" w:afterAutospacing="1"/>
            </w:pPr>
            <w:r w:rsidRPr="00AD4B4F">
              <w:rPr>
                <w:b/>
                <w:color w:val="000000"/>
              </w:rPr>
              <w:t>Total</w:t>
            </w:r>
          </w:p>
        </w:tc>
        <w:tc>
          <w:tcPr>
            <w:tcW w:w="2648" w:type="dxa"/>
            <w:vAlign w:val="bottom"/>
          </w:tcPr>
          <w:p w14:paraId="447C9A13" w14:textId="77777777" w:rsidR="0023288C" w:rsidRPr="00AD4B4F" w:rsidRDefault="00202916">
            <w:pPr>
              <w:spacing w:beforeAutospacing="1" w:afterAutospacing="1"/>
              <w:jc w:val="right"/>
            </w:pPr>
            <w:r w:rsidRPr="00AD4B4F">
              <w:rPr>
                <w:b/>
                <w:color w:val="000000"/>
              </w:rPr>
              <w:t>53</w:t>
            </w:r>
          </w:p>
        </w:tc>
        <w:tc>
          <w:tcPr>
            <w:tcW w:w="2649" w:type="dxa"/>
            <w:vAlign w:val="bottom"/>
          </w:tcPr>
          <w:p w14:paraId="7B2F953A" w14:textId="30F13A9A" w:rsidR="0023288C" w:rsidRPr="00AD4B4F" w:rsidRDefault="006D67BD">
            <w:pPr>
              <w:spacing w:beforeAutospacing="1" w:afterAutospacing="1"/>
              <w:jc w:val="right"/>
            </w:pPr>
            <w:r>
              <w:rPr>
                <w:b/>
                <w:color w:val="000000"/>
              </w:rPr>
              <w:t>3</w:t>
            </w:r>
          </w:p>
        </w:tc>
      </w:tr>
    </w:tbl>
    <w:p w14:paraId="367D6432" w14:textId="02B6ED34" w:rsidR="0023288C" w:rsidRPr="00AD4B4F" w:rsidRDefault="00202916" w:rsidP="00BA034F">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12</w:t>
      </w:r>
      <w:r w:rsidRPr="00AD4B4F">
        <w:rPr>
          <w:rFonts w:asciiTheme="minorHAnsi" w:hAnsiTheme="minorHAnsi"/>
        </w:rPr>
        <w:fldChar w:fldCharType="end"/>
      </w:r>
      <w:r w:rsidRPr="00AD4B4F">
        <w:rPr>
          <w:rFonts w:asciiTheme="minorHAnsi" w:hAnsiTheme="minorHAnsi"/>
        </w:rPr>
        <w:t xml:space="preserve"> – Number of Households Supported</w:t>
      </w:r>
    </w:p>
    <w:p w14:paraId="3EB69FFC" w14:textId="77777777" w:rsidR="00BA034F" w:rsidRPr="00AD4B4F" w:rsidRDefault="00BA034F" w:rsidP="00BA034F"/>
    <w:p w14:paraId="0379A184" w14:textId="7F2453F2" w:rsidR="0023288C" w:rsidRPr="00AD4B4F" w:rsidRDefault="00202916">
      <w:pPr>
        <w:widowControl w:val="0"/>
        <w:spacing w:line="204" w:lineRule="auto"/>
        <w:rPr>
          <w:b/>
          <w:sz w:val="24"/>
          <w:szCs w:val="24"/>
        </w:rPr>
      </w:pPr>
      <w:r w:rsidRPr="00AD4B4F">
        <w:rPr>
          <w:b/>
          <w:sz w:val="24"/>
          <w:szCs w:val="24"/>
        </w:rPr>
        <w:t>Discuss the difference between goals and outcomes and problems encountered in meeting these goals.</w:t>
      </w:r>
    </w:p>
    <w:p w14:paraId="390525AE" w14:textId="747F82D6" w:rsidR="006A0BF7" w:rsidRPr="002A13F2" w:rsidRDefault="006A0BF7" w:rsidP="002A13F2">
      <w:r w:rsidRPr="00AD4B4F">
        <w:t>The City set aside it's 2022 CHDO set aside $81,973 and $183,498.41 in HOME entitlement for the Thackston Park Phase II project. The tax credit application to PHFA has been approved. There were many problems that prevented the project from closing in in 2021.  The increased costs of materials due to COVID and demand placed a large burden on developers.  Projects had to be re-evaluated and additional funding had to be found to close the gap in financing caused by COVID.  LIHTC financing closed in 2022 and construction is underway.  HOME projects are typically multi</w:t>
      </w:r>
      <w:r w:rsidR="002A13F2">
        <w:t>-</w:t>
      </w:r>
      <w:r w:rsidRPr="00AD4B4F">
        <w:t xml:space="preserve">year projects and beneficiaries will be reported when project is completed.    </w:t>
      </w:r>
    </w:p>
    <w:p w14:paraId="6C360623" w14:textId="1D1B3D23" w:rsidR="0023288C" w:rsidRPr="00AD4B4F" w:rsidRDefault="00202916">
      <w:pPr>
        <w:widowControl w:val="0"/>
        <w:spacing w:line="204" w:lineRule="auto"/>
        <w:rPr>
          <w:b/>
          <w:sz w:val="24"/>
          <w:szCs w:val="24"/>
        </w:rPr>
      </w:pPr>
      <w:r w:rsidRPr="00AD4B4F">
        <w:rPr>
          <w:b/>
          <w:sz w:val="24"/>
          <w:szCs w:val="24"/>
        </w:rPr>
        <w:t>Discuss how these outcomes will impact future annual action plans.</w:t>
      </w:r>
    </w:p>
    <w:p w14:paraId="0844D0A3" w14:textId="789496CA" w:rsidR="00A013CA" w:rsidRPr="00AD4B4F" w:rsidRDefault="00A013CA" w:rsidP="006A0BF7">
      <w:r w:rsidRPr="00AD4B4F">
        <w:t xml:space="preserve">The City of York will continue to address the need for affordable housing using CDBG and HOME funding. The City is undertaking projects and activities consistent with its five-year goals. The City of </w:t>
      </w:r>
      <w:r w:rsidRPr="00AD4B4F">
        <w:lastRenderedPageBreak/>
        <w:t>York employed a multi-faceted approach in attempting to meet its affordable housing needs. The City will adjust future annual action plans by more accurately and realistically projecting persons and households that will receive assistance.</w:t>
      </w:r>
    </w:p>
    <w:p w14:paraId="6F966DF7" w14:textId="77777777" w:rsidR="0023288C" w:rsidRPr="00AD4B4F" w:rsidRDefault="00202916">
      <w:pPr>
        <w:keepNext/>
        <w:widowControl w:val="0"/>
        <w:spacing w:line="204" w:lineRule="auto"/>
        <w:rPr>
          <w:b/>
          <w:sz w:val="24"/>
          <w:szCs w:val="24"/>
        </w:rPr>
      </w:pPr>
      <w:r w:rsidRPr="00AD4B4F">
        <w:rPr>
          <w:b/>
          <w:sz w:val="24"/>
          <w:szCs w:val="24"/>
        </w:rPr>
        <w:t>Include the number of extremely low-income, low-income, and moderate-income persons served by each activity where information on income by family size is required to determine the eligibility of the activity.</w:t>
      </w:r>
    </w:p>
    <w:p w14:paraId="7905834E" w14:textId="77777777" w:rsidR="0023288C" w:rsidRPr="00AD4B4F" w:rsidRDefault="0023288C">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23288C" w:rsidRPr="00AD4B4F" w14:paraId="442098B7" w14:textId="77777777">
        <w:trPr>
          <w:cantSplit/>
        </w:trPr>
        <w:tc>
          <w:tcPr>
            <w:tcW w:w="4081" w:type="dxa"/>
          </w:tcPr>
          <w:p w14:paraId="638B3ACC" w14:textId="77777777" w:rsidR="0023288C" w:rsidRPr="00AD4B4F" w:rsidRDefault="00202916">
            <w:pPr>
              <w:keepNext/>
              <w:widowControl w:val="0"/>
              <w:spacing w:after="0" w:line="240" w:lineRule="auto"/>
              <w:jc w:val="center"/>
              <w:rPr>
                <w:b/>
              </w:rPr>
            </w:pPr>
            <w:r w:rsidRPr="00AD4B4F">
              <w:rPr>
                <w:b/>
              </w:rPr>
              <w:t>Number  of Households Served</w:t>
            </w:r>
          </w:p>
        </w:tc>
        <w:tc>
          <w:tcPr>
            <w:tcW w:w="1859" w:type="dxa"/>
          </w:tcPr>
          <w:p w14:paraId="6F5BA0DD" w14:textId="77777777" w:rsidR="0023288C" w:rsidRPr="00AD4B4F" w:rsidRDefault="00202916">
            <w:pPr>
              <w:keepNext/>
              <w:widowControl w:val="0"/>
              <w:spacing w:after="0" w:line="240" w:lineRule="auto"/>
              <w:jc w:val="center"/>
              <w:rPr>
                <w:b/>
              </w:rPr>
            </w:pPr>
            <w:r w:rsidRPr="00AD4B4F">
              <w:rPr>
                <w:b/>
              </w:rPr>
              <w:t>CDBG Actual</w:t>
            </w:r>
          </w:p>
        </w:tc>
        <w:tc>
          <w:tcPr>
            <w:tcW w:w="1915" w:type="dxa"/>
            <w:gridSpan w:val="2"/>
          </w:tcPr>
          <w:p w14:paraId="293728AF" w14:textId="77777777" w:rsidR="0023288C" w:rsidRPr="00AD4B4F" w:rsidRDefault="00202916">
            <w:pPr>
              <w:keepNext/>
              <w:widowControl w:val="0"/>
              <w:spacing w:after="0" w:line="240" w:lineRule="auto"/>
              <w:jc w:val="center"/>
              <w:rPr>
                <w:b/>
              </w:rPr>
            </w:pPr>
            <w:r w:rsidRPr="00AD4B4F">
              <w:rPr>
                <w:b/>
              </w:rPr>
              <w:t>HOME Actual</w:t>
            </w:r>
          </w:p>
        </w:tc>
      </w:tr>
      <w:tr w:rsidR="0023288C" w:rsidRPr="00AD4B4F" w14:paraId="011C8CF5" w14:textId="77777777">
        <w:trPr>
          <w:gridAfter w:val="1"/>
          <w:wAfter w:w="25" w:type="dxa"/>
          <w:cantSplit/>
        </w:trPr>
        <w:tc>
          <w:tcPr>
            <w:tcW w:w="4081" w:type="dxa"/>
            <w:vAlign w:val="bottom"/>
          </w:tcPr>
          <w:p w14:paraId="318F87D6" w14:textId="77777777" w:rsidR="0023288C" w:rsidRPr="00AD4B4F" w:rsidRDefault="00202916">
            <w:pPr>
              <w:spacing w:beforeAutospacing="1" w:afterAutospacing="1"/>
            </w:pPr>
            <w:r w:rsidRPr="00AD4B4F">
              <w:rPr>
                <w:color w:val="000000"/>
              </w:rPr>
              <w:t>Extremely Low-income</w:t>
            </w:r>
          </w:p>
        </w:tc>
        <w:tc>
          <w:tcPr>
            <w:tcW w:w="1859" w:type="dxa"/>
            <w:vAlign w:val="bottom"/>
          </w:tcPr>
          <w:p w14:paraId="6A5AF109" w14:textId="77777777" w:rsidR="0023288C" w:rsidRPr="00AD4B4F" w:rsidRDefault="00202916">
            <w:pPr>
              <w:spacing w:beforeAutospacing="1" w:afterAutospacing="1"/>
              <w:jc w:val="right"/>
            </w:pPr>
            <w:r w:rsidRPr="00AD4B4F">
              <w:rPr>
                <w:color w:val="000000"/>
              </w:rPr>
              <w:t>0</w:t>
            </w:r>
          </w:p>
        </w:tc>
        <w:tc>
          <w:tcPr>
            <w:tcW w:w="1890" w:type="dxa"/>
            <w:vAlign w:val="bottom"/>
          </w:tcPr>
          <w:p w14:paraId="3DDDCD5F" w14:textId="77777777" w:rsidR="0023288C" w:rsidRPr="00AD4B4F" w:rsidRDefault="00202916">
            <w:pPr>
              <w:spacing w:beforeAutospacing="1" w:afterAutospacing="1"/>
              <w:jc w:val="right"/>
            </w:pPr>
            <w:r w:rsidRPr="00AD4B4F">
              <w:rPr>
                <w:color w:val="000000"/>
              </w:rPr>
              <w:t>0</w:t>
            </w:r>
          </w:p>
        </w:tc>
      </w:tr>
      <w:tr w:rsidR="0023288C" w:rsidRPr="00AD4B4F" w14:paraId="3C2F6D95" w14:textId="77777777">
        <w:trPr>
          <w:gridAfter w:val="1"/>
          <w:wAfter w:w="25" w:type="dxa"/>
          <w:cantSplit/>
        </w:trPr>
        <w:tc>
          <w:tcPr>
            <w:tcW w:w="4081" w:type="dxa"/>
            <w:vAlign w:val="bottom"/>
          </w:tcPr>
          <w:p w14:paraId="3F584582" w14:textId="77777777" w:rsidR="0023288C" w:rsidRPr="00AD4B4F" w:rsidRDefault="00202916">
            <w:pPr>
              <w:spacing w:beforeAutospacing="1" w:afterAutospacing="1"/>
            </w:pPr>
            <w:r w:rsidRPr="00AD4B4F">
              <w:rPr>
                <w:color w:val="000000"/>
              </w:rPr>
              <w:t>Low-income</w:t>
            </w:r>
          </w:p>
        </w:tc>
        <w:tc>
          <w:tcPr>
            <w:tcW w:w="1859" w:type="dxa"/>
            <w:vAlign w:val="bottom"/>
          </w:tcPr>
          <w:p w14:paraId="386F500A" w14:textId="393FCD08" w:rsidR="0023288C" w:rsidRPr="00AD4B4F" w:rsidRDefault="002A13F2">
            <w:pPr>
              <w:spacing w:beforeAutospacing="1" w:afterAutospacing="1"/>
              <w:jc w:val="right"/>
            </w:pPr>
            <w:r>
              <w:rPr>
                <w:color w:val="000000"/>
              </w:rPr>
              <w:t>1</w:t>
            </w:r>
          </w:p>
        </w:tc>
        <w:tc>
          <w:tcPr>
            <w:tcW w:w="1890" w:type="dxa"/>
            <w:vAlign w:val="bottom"/>
          </w:tcPr>
          <w:p w14:paraId="215E5D56" w14:textId="3C837A64" w:rsidR="0023288C" w:rsidRPr="00AD4B4F" w:rsidRDefault="002A13F2">
            <w:pPr>
              <w:spacing w:beforeAutospacing="1" w:afterAutospacing="1"/>
              <w:jc w:val="right"/>
            </w:pPr>
            <w:r>
              <w:rPr>
                <w:color w:val="000000"/>
              </w:rPr>
              <w:t>3</w:t>
            </w:r>
          </w:p>
        </w:tc>
      </w:tr>
      <w:tr w:rsidR="0023288C" w:rsidRPr="00AD4B4F" w14:paraId="2FC0362F" w14:textId="77777777">
        <w:trPr>
          <w:gridAfter w:val="1"/>
          <w:wAfter w:w="25" w:type="dxa"/>
          <w:cantSplit/>
        </w:trPr>
        <w:tc>
          <w:tcPr>
            <w:tcW w:w="4081" w:type="dxa"/>
            <w:vAlign w:val="bottom"/>
          </w:tcPr>
          <w:p w14:paraId="028BAF98" w14:textId="77777777" w:rsidR="0023288C" w:rsidRPr="00AD4B4F" w:rsidRDefault="00202916">
            <w:pPr>
              <w:spacing w:beforeAutospacing="1" w:afterAutospacing="1"/>
            </w:pPr>
            <w:r w:rsidRPr="00AD4B4F">
              <w:rPr>
                <w:color w:val="000000"/>
              </w:rPr>
              <w:t>Moderate-income</w:t>
            </w:r>
          </w:p>
        </w:tc>
        <w:tc>
          <w:tcPr>
            <w:tcW w:w="1859" w:type="dxa"/>
            <w:vAlign w:val="bottom"/>
          </w:tcPr>
          <w:p w14:paraId="43DC121E" w14:textId="77777777" w:rsidR="0023288C" w:rsidRPr="00AD4B4F" w:rsidRDefault="00202916">
            <w:pPr>
              <w:spacing w:beforeAutospacing="1" w:afterAutospacing="1"/>
              <w:jc w:val="right"/>
            </w:pPr>
            <w:r w:rsidRPr="00AD4B4F">
              <w:rPr>
                <w:color w:val="000000"/>
              </w:rPr>
              <w:t>0</w:t>
            </w:r>
          </w:p>
        </w:tc>
        <w:tc>
          <w:tcPr>
            <w:tcW w:w="1890" w:type="dxa"/>
            <w:vAlign w:val="bottom"/>
          </w:tcPr>
          <w:p w14:paraId="6CAFCFB5" w14:textId="77777777" w:rsidR="0023288C" w:rsidRPr="00AD4B4F" w:rsidRDefault="00202916">
            <w:pPr>
              <w:spacing w:beforeAutospacing="1" w:afterAutospacing="1"/>
              <w:jc w:val="right"/>
            </w:pPr>
            <w:r w:rsidRPr="00AD4B4F">
              <w:rPr>
                <w:color w:val="000000"/>
              </w:rPr>
              <w:t>0</w:t>
            </w:r>
          </w:p>
        </w:tc>
      </w:tr>
      <w:tr w:rsidR="0023288C" w:rsidRPr="00AD4B4F" w14:paraId="60E79DF7" w14:textId="77777777">
        <w:trPr>
          <w:gridAfter w:val="1"/>
          <w:wAfter w:w="25" w:type="dxa"/>
          <w:cantSplit/>
        </w:trPr>
        <w:tc>
          <w:tcPr>
            <w:tcW w:w="4081" w:type="dxa"/>
            <w:vAlign w:val="bottom"/>
          </w:tcPr>
          <w:p w14:paraId="7BEB8469" w14:textId="77777777" w:rsidR="0023288C" w:rsidRPr="00AD4B4F" w:rsidRDefault="00202916">
            <w:pPr>
              <w:spacing w:beforeAutospacing="1" w:afterAutospacing="1"/>
            </w:pPr>
            <w:r w:rsidRPr="00AD4B4F">
              <w:rPr>
                <w:b/>
                <w:color w:val="000000"/>
              </w:rPr>
              <w:t>Total</w:t>
            </w:r>
          </w:p>
        </w:tc>
        <w:tc>
          <w:tcPr>
            <w:tcW w:w="1859" w:type="dxa"/>
            <w:vAlign w:val="bottom"/>
          </w:tcPr>
          <w:p w14:paraId="15439A19" w14:textId="033DDBEE" w:rsidR="0023288C" w:rsidRPr="00AD4B4F" w:rsidRDefault="002A13F2">
            <w:pPr>
              <w:spacing w:beforeAutospacing="1" w:afterAutospacing="1"/>
              <w:jc w:val="right"/>
            </w:pPr>
            <w:r>
              <w:rPr>
                <w:b/>
                <w:color w:val="000000"/>
              </w:rPr>
              <w:t>1</w:t>
            </w:r>
          </w:p>
        </w:tc>
        <w:tc>
          <w:tcPr>
            <w:tcW w:w="1890" w:type="dxa"/>
            <w:vAlign w:val="bottom"/>
          </w:tcPr>
          <w:p w14:paraId="5D7B5E90" w14:textId="2F66551F" w:rsidR="0023288C" w:rsidRPr="00AD4B4F" w:rsidRDefault="002A13F2">
            <w:pPr>
              <w:spacing w:beforeAutospacing="1" w:afterAutospacing="1"/>
              <w:jc w:val="right"/>
            </w:pPr>
            <w:r>
              <w:rPr>
                <w:b/>
                <w:color w:val="000000"/>
              </w:rPr>
              <w:t>3</w:t>
            </w:r>
          </w:p>
        </w:tc>
      </w:tr>
    </w:tbl>
    <w:p w14:paraId="46A3A2ED" w14:textId="0A947953" w:rsidR="0023288C" w:rsidRPr="00AD4B4F" w:rsidRDefault="00202916" w:rsidP="00A013CA">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13</w:t>
      </w:r>
      <w:r w:rsidRPr="00AD4B4F">
        <w:rPr>
          <w:rFonts w:asciiTheme="minorHAnsi" w:hAnsiTheme="minorHAnsi"/>
        </w:rPr>
        <w:fldChar w:fldCharType="end"/>
      </w:r>
      <w:r w:rsidRPr="00AD4B4F">
        <w:rPr>
          <w:rFonts w:asciiTheme="minorHAnsi" w:hAnsiTheme="minorHAnsi"/>
        </w:rPr>
        <w:t xml:space="preserve"> – Number of Households Served</w:t>
      </w:r>
    </w:p>
    <w:p w14:paraId="7CFF1E05" w14:textId="77777777" w:rsidR="00A013CA" w:rsidRPr="00AD4B4F" w:rsidRDefault="00A013CA" w:rsidP="00A013CA"/>
    <w:p w14:paraId="0EAE28E1" w14:textId="732A0BB0" w:rsidR="0023288C" w:rsidRDefault="00202916">
      <w:pPr>
        <w:widowControl w:val="0"/>
        <w:spacing w:line="204" w:lineRule="auto"/>
        <w:rPr>
          <w:b/>
          <w:sz w:val="24"/>
          <w:szCs w:val="24"/>
        </w:rPr>
      </w:pPr>
      <w:r w:rsidRPr="00AD4B4F">
        <w:rPr>
          <w:b/>
          <w:sz w:val="24"/>
          <w:szCs w:val="24"/>
        </w:rPr>
        <w:t>Narrative Information</w:t>
      </w:r>
    </w:p>
    <w:p w14:paraId="2F0F6177" w14:textId="0DC49AE1" w:rsidR="002A13F2" w:rsidRPr="00D73813" w:rsidRDefault="002A13F2">
      <w:pPr>
        <w:widowControl w:val="0"/>
        <w:spacing w:line="204" w:lineRule="auto"/>
        <w:rPr>
          <w:bCs/>
          <w:sz w:val="24"/>
          <w:szCs w:val="24"/>
        </w:rPr>
      </w:pPr>
      <w:r w:rsidRPr="00D73813">
        <w:rPr>
          <w:bCs/>
          <w:sz w:val="24"/>
          <w:szCs w:val="24"/>
        </w:rPr>
        <w:t xml:space="preserve">The City conducts income intake for housing rehab program (CDBG) and HOME assisted down payment program and rental production program.  </w:t>
      </w:r>
    </w:p>
    <w:p w14:paraId="4A62FDDB" w14:textId="77777777" w:rsidR="0023288C" w:rsidRPr="00AD4B4F" w:rsidRDefault="0023288C">
      <w:pPr>
        <w:rPr>
          <w:rFonts w:cs="Arial"/>
        </w:rPr>
      </w:pPr>
    </w:p>
    <w:p w14:paraId="52B1844A" w14:textId="0593CCCA" w:rsidR="0023288C" w:rsidRPr="00AD4B4F" w:rsidRDefault="0023288C">
      <w:pPr>
        <w:pStyle w:val="Heading2"/>
        <w:pageBreakBefore/>
        <w:rPr>
          <w:rFonts w:ascii="Calibri" w:hAnsi="Calibri"/>
          <w:i w:val="0"/>
        </w:rPr>
        <w:sectPr w:rsidR="0023288C" w:rsidRPr="00AD4B4F">
          <w:pgSz w:w="12240" w:h="15840" w:code="1"/>
          <w:pgMar w:top="1440" w:right="1440" w:bottom="1440" w:left="1440" w:header="720" w:footer="720" w:gutter="0"/>
          <w:cols w:space="720"/>
          <w:docGrid w:linePitch="360"/>
        </w:sectPr>
      </w:pPr>
    </w:p>
    <w:p w14:paraId="7F2CDA87" w14:textId="77777777" w:rsidR="0023288C" w:rsidRPr="00AD4B4F" w:rsidRDefault="00202916">
      <w:pPr>
        <w:pStyle w:val="Heading2"/>
        <w:pageBreakBefore/>
        <w:widowControl w:val="0"/>
        <w:rPr>
          <w:rFonts w:ascii="Calibri" w:hAnsi="Calibri"/>
          <w:i w:val="0"/>
        </w:rPr>
      </w:pPr>
      <w:bookmarkStart w:id="6" w:name="_Toc127268197"/>
      <w:bookmarkEnd w:id="4"/>
      <w:r w:rsidRPr="00AD4B4F">
        <w:rPr>
          <w:rFonts w:ascii="Calibri" w:hAnsi="Calibri"/>
          <w:i w:val="0"/>
        </w:rPr>
        <w:lastRenderedPageBreak/>
        <w:t>CR-25 - Homeless and Other Special Needs 91.220(d, e); 91.320(d, e); 91.520(c)</w:t>
      </w:r>
      <w:bookmarkEnd w:id="6"/>
    </w:p>
    <w:p w14:paraId="76C87077" w14:textId="77777777" w:rsidR="0023288C" w:rsidRPr="00AD4B4F" w:rsidRDefault="00202916">
      <w:pPr>
        <w:keepNext/>
        <w:widowControl w:val="0"/>
        <w:rPr>
          <w:b/>
          <w:sz w:val="24"/>
          <w:szCs w:val="24"/>
        </w:rPr>
      </w:pPr>
      <w:r w:rsidRPr="00AD4B4F">
        <w:rPr>
          <w:b/>
          <w:sz w:val="24"/>
          <w:szCs w:val="24"/>
        </w:rPr>
        <w:t>Evaluate the jurisdiction’s progress in meeting its specific objectives for reducing and ending homelessness through:</w:t>
      </w:r>
    </w:p>
    <w:p w14:paraId="028F7627" w14:textId="622FA0D9" w:rsidR="0023288C" w:rsidRPr="00AD4B4F" w:rsidRDefault="00202916">
      <w:pPr>
        <w:widowControl w:val="0"/>
        <w:rPr>
          <w:b/>
          <w:sz w:val="24"/>
          <w:szCs w:val="24"/>
        </w:rPr>
      </w:pPr>
      <w:r w:rsidRPr="00AD4B4F">
        <w:rPr>
          <w:b/>
          <w:sz w:val="24"/>
          <w:szCs w:val="24"/>
        </w:rPr>
        <w:t>Reaching out to homeless persons (especially unsheltered persons) and assessing their individual needs</w:t>
      </w:r>
    </w:p>
    <w:p w14:paraId="7CCD88DF" w14:textId="77777777" w:rsidR="00D14E0B" w:rsidRPr="00053B06" w:rsidRDefault="00D14E0B" w:rsidP="00D14E0B">
      <w:pPr>
        <w:widowControl w:val="0"/>
        <w:rPr>
          <w:bCs/>
        </w:rPr>
      </w:pPr>
      <w:r w:rsidRPr="00053B06">
        <w:rPr>
          <w:bCs/>
        </w:rPr>
        <w:t xml:space="preserve">Many of the unsheltered homeless in York County also struggle with mental health issues. Bell Socialization Services, a nonprofit in York County, does some outreach to these populations through their PATH program, which attempts to engage these populations and encourage those with mental health issues to seek permanent housing. </w:t>
      </w:r>
    </w:p>
    <w:p w14:paraId="583A888F" w14:textId="5BDBBAB5" w:rsidR="00A013CA" w:rsidRPr="00053B06" w:rsidRDefault="00D14E0B" w:rsidP="00D14E0B">
      <w:pPr>
        <w:widowControl w:val="0"/>
        <w:rPr>
          <w:bCs/>
        </w:rPr>
      </w:pPr>
      <w:r w:rsidRPr="00053B06">
        <w:rPr>
          <w:bCs/>
        </w:rPr>
        <w:t>In addition, York County, including the City, participates in the annual Point In Time Survey, which attempts to capture the unsheltered homeless population.  The County continually refines the questions asked to get a better sense of those who are unsheltered and potentially not seeking homeless services from the providers in the area. In addition, those unsheltered homeless who are interviewed and counted every year are offered a variety of services and provided with a pack of goods to help them as well.</w:t>
      </w:r>
    </w:p>
    <w:p w14:paraId="1796AA77" w14:textId="3688F32B" w:rsidR="00C663B3" w:rsidRPr="00053B06" w:rsidRDefault="00C663B3" w:rsidP="00D14E0B">
      <w:pPr>
        <w:widowControl w:val="0"/>
        <w:rPr>
          <w:bCs/>
        </w:rPr>
      </w:pPr>
      <w:r w:rsidRPr="00053B06">
        <w:rPr>
          <w:bCs/>
        </w:rPr>
        <w:t>The City recognizes that there is more to be done with respect to increasing available services for the unsheltered populations.  Coordinated Entry and 2-1-1 have seen increases in calls for shelter, hotel stay assistance and housing locator services.  Street Outreach services are limited in the City.</w:t>
      </w:r>
    </w:p>
    <w:p w14:paraId="54B45F74" w14:textId="4C3B6AFF" w:rsidR="0023288C" w:rsidRPr="00AD4B4F" w:rsidRDefault="00202916">
      <w:pPr>
        <w:widowControl w:val="0"/>
        <w:rPr>
          <w:b/>
          <w:sz w:val="24"/>
          <w:szCs w:val="24"/>
        </w:rPr>
      </w:pPr>
      <w:r w:rsidRPr="00AD4B4F">
        <w:rPr>
          <w:b/>
          <w:sz w:val="24"/>
          <w:szCs w:val="24"/>
        </w:rPr>
        <w:t>Addressing the emergency shelter and transitional housing needs of homeless persons</w:t>
      </w:r>
    </w:p>
    <w:p w14:paraId="5F336125" w14:textId="53EF9A35" w:rsidR="005D4F7E" w:rsidRPr="00053B06" w:rsidRDefault="005D4F7E" w:rsidP="005D4F7E">
      <w:r w:rsidRPr="00053B06">
        <w:t>Emergency shelters and transitional housing programs are critical components of the homeless housing services provided in York County.</w:t>
      </w:r>
      <w:r w:rsidR="009C2D2E" w:rsidRPr="00053B06">
        <w:t xml:space="preserve"> The York County 2022 Housing Inventory Chart (HIC) indicated 139 emergency shelter beds and 34 family units were available. In addition, the HIC identified 4 transitional housing beds and 20 family units; 193 Permanent Supportive Housing beds and 18 family units; 51 Rapid Rehousing beds and 74 family units.</w:t>
      </w:r>
    </w:p>
    <w:p w14:paraId="5122BA42" w14:textId="7232120E" w:rsidR="005D4F7E" w:rsidRPr="00053B06" w:rsidRDefault="005D4F7E" w:rsidP="005D4F7E">
      <w:r w:rsidRPr="00053B06">
        <w:t xml:space="preserve">The York County Coalition on Homelessness has increased its outreach efforts in the City to help place street homeless in shelter and/or permanent housing.  Limiting encampments has been especially critical during the COVID-19 pandemic.  </w:t>
      </w:r>
      <w:r w:rsidR="00C663B3" w:rsidRPr="00053B06">
        <w:t>However, l</w:t>
      </w:r>
      <w:r w:rsidR="00C663B3" w:rsidRPr="00053B06">
        <w:rPr>
          <w:bCs/>
        </w:rPr>
        <w:t>ack of staff capacity at shelters has reduced the bed capacity and ability of many shelters to stay open during the day.</w:t>
      </w:r>
    </w:p>
    <w:p w14:paraId="1E849420" w14:textId="0ADC608D" w:rsidR="005D4F7E" w:rsidRPr="00053B06" w:rsidRDefault="005D4F7E" w:rsidP="00C663B3">
      <w:pPr>
        <w:rPr>
          <w:sz w:val="24"/>
          <w:szCs w:val="24"/>
        </w:rPr>
      </w:pPr>
      <w:r w:rsidRPr="00053B06">
        <w:t>The County’s COVID Response Fund provided funding for Code Blue Shelter. Shelter providers have seen dramatic shifts in operating procedure to ensure safety of all shelter guests and staff during public health emergency.  Symptom checks and rapid testing are two ways of doing so</w:t>
      </w:r>
      <w:r w:rsidR="00C663B3" w:rsidRPr="00053B06">
        <w:t xml:space="preserve">… </w:t>
      </w:r>
      <w:r w:rsidR="00C663B3" w:rsidRPr="00053B06">
        <w:lastRenderedPageBreak/>
        <w:t>Still, it is difficult to move households out of shelter into units due to lack of units in the marketplace (increase in rents, lack of supply and lack of landlords willing to accept special needs populations), so shelter space is extremely limited.</w:t>
      </w:r>
      <w:r w:rsidR="00C663B3" w:rsidRPr="00053B06">
        <w:tab/>
        <w:t>There are record numbers of families living in hotels who are not able to find permanent housing due to lack of supply, poor credit/rental history, and raising rents.  Many of these families could afford some rental payments if they could find a unit.  Resources and staff capacity limit the City’s ability to increase shelter and transitional housing.</w:t>
      </w:r>
      <w:r w:rsidR="00C663B3" w:rsidRPr="00053B06">
        <w:rPr>
          <w:sz w:val="24"/>
          <w:szCs w:val="24"/>
        </w:rPr>
        <w:t xml:space="preserve"> </w:t>
      </w:r>
    </w:p>
    <w:p w14:paraId="26BEC235" w14:textId="6F7E987B" w:rsidR="0023288C" w:rsidRPr="00AD4B4F" w:rsidRDefault="00202916">
      <w:pPr>
        <w:widowControl w:val="0"/>
        <w:rPr>
          <w:b/>
          <w:sz w:val="24"/>
          <w:szCs w:val="24"/>
        </w:rPr>
      </w:pPr>
      <w:r w:rsidRPr="00AD4B4F">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27FB76CF" w14:textId="33806900" w:rsidR="00051A77" w:rsidRPr="00053B06" w:rsidRDefault="00051A77" w:rsidP="00051A77">
      <w:pPr>
        <w:widowControl w:val="0"/>
        <w:rPr>
          <w:bCs/>
        </w:rPr>
      </w:pPr>
      <w:r w:rsidRPr="00053B06">
        <w:rPr>
          <w:bCs/>
        </w:rPr>
        <w:t xml:space="preserve">York County continues to prioritize Rapid Re-Housing and continues to seek new Continuum of Care resources for Rapid Rehousing activities.  In addition, to prevent homelessness, York County provides Pennsylvania Homeless Assistance Program (HAP) dollars to individuals who are at risk of losing their homes and to those who need help with a down payment or first month’s rent to get into a home of their own. A majority of these sources of rapid re-housing and homeless prevention funds are managed through the same local non-profit, Bell Socialization Services (Next Door Program) thereby increasing the odds of an individual or family finding the most appropriate funding source(s) to address their needs. </w:t>
      </w:r>
    </w:p>
    <w:p w14:paraId="66AC9F04" w14:textId="673CC2CB" w:rsidR="00051A77" w:rsidRPr="00053B06" w:rsidRDefault="00051A77" w:rsidP="00051A77">
      <w:pPr>
        <w:widowControl w:val="0"/>
        <w:rPr>
          <w:bCs/>
        </w:rPr>
      </w:pPr>
      <w:r w:rsidRPr="00053B06">
        <w:rPr>
          <w:bCs/>
        </w:rPr>
        <w:t>The City participates in the County’s Coordinated Entry process, which assesses household vulnerability and/or need at the time of entry to most appropriately place them in housing and services that will best suit their needs</w:t>
      </w:r>
      <w:r w:rsidR="00C663B3" w:rsidRPr="00053B06">
        <w:rPr>
          <w:bCs/>
        </w:rPr>
        <w:t xml:space="preserve">. </w:t>
      </w:r>
    </w:p>
    <w:p w14:paraId="0E4FCC82" w14:textId="64E80FB5" w:rsidR="00C663B3" w:rsidRPr="00053B06" w:rsidRDefault="00C663B3" w:rsidP="00051A77">
      <w:pPr>
        <w:widowControl w:val="0"/>
        <w:rPr>
          <w:bCs/>
        </w:rPr>
      </w:pPr>
      <w:r w:rsidRPr="00053B06">
        <w:rPr>
          <w:bCs/>
        </w:rPr>
        <w:t>Utilizing supplemental CARES Act funds, the City was able to provide emergency rental assistance funds to service providers to assist households in avoiding becoming homeless.  However, these resources are dwindling, and alternative sources have yet to be identified.  As rents in the City continue to increase, the City will continue to identify resources to assist households in making rent payments.</w:t>
      </w:r>
    </w:p>
    <w:p w14:paraId="7F2D264B" w14:textId="77777777" w:rsidR="0023288C" w:rsidRPr="00AD4B4F" w:rsidRDefault="00202916">
      <w:pPr>
        <w:widowControl w:val="0"/>
        <w:rPr>
          <w:b/>
          <w:sz w:val="24"/>
          <w:szCs w:val="24"/>
        </w:rPr>
      </w:pPr>
      <w:r w:rsidRPr="00AD4B4F">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A8630ED" w14:textId="3A5633EF" w:rsidR="00C663B3" w:rsidRPr="00AD4B4F" w:rsidRDefault="00C663B3" w:rsidP="00C663B3">
      <w:r w:rsidRPr="00AD4B4F">
        <w:lastRenderedPageBreak/>
        <w:t>Connecting individuals quickly to services, particularly mental health and substance abuse services for those exiting the criminal justice system, is a need.  Ongoing rental assistance and supportive services ensure stability in housing, but these servives are limited and capacity among service providers is unable to meet the existing need.  A majority of rapid re-housing and homeless prevention funds are managed through the same local non-profit, Bell Socialization Services (Next Door Program) thereby increasing the odds of an individual or family finding the most appropriate funding source(s) to address their needs.  As mentioned previously, the City reserved CDBG-CV funds to help households with growing rent and utility arrears during this time, but recognize that the need will far exceed resources available once eviction moratoria expire and resources are no longer available.</w:t>
      </w:r>
    </w:p>
    <w:p w14:paraId="290FBBCE" w14:textId="77777777" w:rsidR="00C663B3" w:rsidRPr="00AD4B4F" w:rsidRDefault="00C663B3" w:rsidP="00C663B3">
      <w:r w:rsidRPr="00AD4B4F">
        <w:t xml:space="preserve">The City participates in the County’s Coordinated Entry process, which assesses household vulnerability and/or need at the time of entry to most appropriately place them in housing and services that will best suit their needs.  </w:t>
      </w:r>
    </w:p>
    <w:p w14:paraId="0223108C" w14:textId="77777777" w:rsidR="0023288C" w:rsidRPr="00AD4B4F" w:rsidRDefault="0023288C">
      <w:pPr>
        <w:widowControl w:val="0"/>
        <w:rPr>
          <w:rFonts w:cs="Arial"/>
          <w:szCs w:val="26"/>
        </w:rPr>
      </w:pPr>
    </w:p>
    <w:p w14:paraId="163E83BC" w14:textId="77777777" w:rsidR="0023288C" w:rsidRPr="00AD4B4F" w:rsidRDefault="00202916">
      <w:pPr>
        <w:pStyle w:val="Heading2"/>
        <w:pageBreakBefore/>
        <w:widowControl w:val="0"/>
        <w:rPr>
          <w:rFonts w:ascii="Calibri" w:hAnsi="Calibri"/>
          <w:i w:val="0"/>
        </w:rPr>
      </w:pPr>
      <w:bookmarkStart w:id="7" w:name="_Toc127268198"/>
      <w:r w:rsidRPr="00AD4B4F">
        <w:rPr>
          <w:rFonts w:ascii="Calibri" w:hAnsi="Calibri"/>
          <w:i w:val="0"/>
        </w:rPr>
        <w:lastRenderedPageBreak/>
        <w:t>CR-30 - Public Housing 91.220(h); 91.320(j)</w:t>
      </w:r>
      <w:bookmarkEnd w:id="7"/>
    </w:p>
    <w:p w14:paraId="7750719A" w14:textId="089ABB63" w:rsidR="0023288C" w:rsidRPr="00AD4B4F" w:rsidRDefault="00202916">
      <w:pPr>
        <w:keepNext/>
        <w:widowControl w:val="0"/>
        <w:rPr>
          <w:b/>
          <w:sz w:val="24"/>
          <w:szCs w:val="24"/>
        </w:rPr>
      </w:pPr>
      <w:r w:rsidRPr="00AD4B4F">
        <w:rPr>
          <w:b/>
          <w:sz w:val="24"/>
          <w:szCs w:val="24"/>
        </w:rPr>
        <w:t>Actions taken to address the needs of public housing</w:t>
      </w:r>
    </w:p>
    <w:p w14:paraId="0EB26533" w14:textId="77777777" w:rsidR="00BE5740" w:rsidRPr="00AD4B4F" w:rsidRDefault="00BE5740" w:rsidP="00BE5740">
      <w:r w:rsidRPr="00AD4B4F">
        <w:t>The York Housing Authority (YHA) continues to use its Capital Fund grant to make physical, operational and management improvements at its various housing developments and administrative sites.</w:t>
      </w:r>
    </w:p>
    <w:p w14:paraId="331383C2" w14:textId="42C67E8D" w:rsidR="00BE5740" w:rsidRPr="00AD4B4F" w:rsidRDefault="00BE5740" w:rsidP="00BE5740">
      <w:r w:rsidRPr="00AD4B4F">
        <w:t>The need for accessible public housing units still exists in the City of York; reasonable accommodations are made when requested, but the YHA still experiences difficulty in meeting the demand for accessible units.</w:t>
      </w:r>
    </w:p>
    <w:p w14:paraId="64231B87" w14:textId="2B0D7820" w:rsidR="0023288C" w:rsidRPr="00AD4B4F" w:rsidRDefault="00202916">
      <w:pPr>
        <w:widowControl w:val="0"/>
        <w:rPr>
          <w:b/>
          <w:sz w:val="24"/>
          <w:szCs w:val="24"/>
        </w:rPr>
      </w:pPr>
      <w:r w:rsidRPr="00AD4B4F">
        <w:rPr>
          <w:b/>
          <w:sz w:val="24"/>
          <w:szCs w:val="24"/>
        </w:rPr>
        <w:t>Actions taken to encourage public housing residents to become more involved in management and participate in homeownership</w:t>
      </w:r>
    </w:p>
    <w:p w14:paraId="55703891" w14:textId="77777777" w:rsidR="007E6746" w:rsidRPr="00AD4B4F" w:rsidRDefault="007E6746" w:rsidP="007E6746">
      <w:r w:rsidRPr="00AD4B4F">
        <w:t xml:space="preserve">York Housing Authority (YHA) has resident councils in four of its developments that also serve as the City’s Resident Advisory Board (RAB).  Participation in the RAB gives residents the opportunity to provide input on YHA management, operations and modernization needs, as well as make recommendations in the development of the YHA Annual and Five-Year Plans.  The YHA continues to encourage more Section 8 voucher holders to participate in the RAB to diversify the input received so that those residents’ needs are also adequately represented and incorporated to the Plans.  </w:t>
      </w:r>
    </w:p>
    <w:p w14:paraId="4D36F3A2" w14:textId="77777777" w:rsidR="007E6746" w:rsidRPr="00AD4B4F" w:rsidRDefault="007E6746" w:rsidP="007E6746">
      <w:r w:rsidRPr="00AD4B4F">
        <w:t>YHA continues to educate residents on the purpose of the RAB and how their feedback will be used to inform planning efforts in an effort to encourage participation.  In addition, the YHA continues to reserve one seat on its Board of Directors for a current eligible resident, so as to encourage involvement in decision making and operations of the YHA by resident members.  This resident board member can also be helpful in recruiting membership on the Resident Advisory Board and resident councils.</w:t>
      </w:r>
    </w:p>
    <w:p w14:paraId="3EC63872" w14:textId="11626427" w:rsidR="007E6746" w:rsidRPr="00AD4B4F" w:rsidRDefault="007E6746" w:rsidP="007E6746">
      <w:r w:rsidRPr="00AD4B4F">
        <w:t>YHA has both a public housing homeownership program and a Section 8 homeownership program and is proposing to increase homeownership opportunities by having its Family Self Sufficiency (FSS) Program Coordinator meet with all incoming public housing applicants to review and discuss homeownership opportunities available to them. The FSS coordinator will pursue similar action with eligible Section 8 tenants.</w:t>
      </w:r>
    </w:p>
    <w:p w14:paraId="31E3EA2D" w14:textId="69F1CD65" w:rsidR="0023288C" w:rsidRPr="00AD4B4F" w:rsidRDefault="00202916">
      <w:pPr>
        <w:widowControl w:val="0"/>
        <w:rPr>
          <w:b/>
          <w:sz w:val="24"/>
          <w:szCs w:val="24"/>
        </w:rPr>
      </w:pPr>
      <w:r w:rsidRPr="00AD4B4F">
        <w:rPr>
          <w:b/>
          <w:sz w:val="24"/>
          <w:szCs w:val="24"/>
        </w:rPr>
        <w:t>Actions taken to provide assistance to troubled PHAs</w:t>
      </w:r>
    </w:p>
    <w:p w14:paraId="7C61802B" w14:textId="173D99DB" w:rsidR="007E6746" w:rsidRPr="00053B06" w:rsidRDefault="007E6746">
      <w:pPr>
        <w:widowControl w:val="0"/>
        <w:rPr>
          <w:bCs/>
        </w:rPr>
      </w:pPr>
      <w:r w:rsidRPr="00053B06">
        <w:rPr>
          <w:bCs/>
        </w:rPr>
        <w:t>YHA is not troubled.</w:t>
      </w:r>
    </w:p>
    <w:p w14:paraId="0F9B9BEA" w14:textId="77777777" w:rsidR="0023288C" w:rsidRPr="00AD4B4F" w:rsidRDefault="00202916">
      <w:pPr>
        <w:pStyle w:val="Heading2"/>
        <w:pageBreakBefore/>
        <w:widowControl w:val="0"/>
        <w:rPr>
          <w:rFonts w:ascii="Calibri" w:hAnsi="Calibri"/>
          <w:i w:val="0"/>
        </w:rPr>
      </w:pPr>
      <w:bookmarkStart w:id="8" w:name="_Toc127268199"/>
      <w:r w:rsidRPr="00AD4B4F">
        <w:rPr>
          <w:rFonts w:ascii="Calibri" w:hAnsi="Calibri"/>
          <w:i w:val="0"/>
        </w:rPr>
        <w:lastRenderedPageBreak/>
        <w:t>CR-35 - Other Actions 91.220(j)-(k); 91.320(i)-(j)</w:t>
      </w:r>
      <w:bookmarkEnd w:id="8"/>
    </w:p>
    <w:p w14:paraId="5FB91222" w14:textId="61B47510" w:rsidR="0023288C" w:rsidRPr="00AD4B4F" w:rsidRDefault="00202916">
      <w:pPr>
        <w:widowControl w:val="0"/>
        <w:rPr>
          <w:b/>
          <w:sz w:val="24"/>
          <w:szCs w:val="24"/>
        </w:rPr>
      </w:pPr>
      <w:r w:rsidRPr="00AD4B4F">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7419BEC9" w14:textId="77777777" w:rsidR="00E0240C" w:rsidRPr="00AD4B4F" w:rsidRDefault="00E0240C" w:rsidP="00E0240C">
      <w:r w:rsidRPr="00AD4B4F">
        <w:t>Since the adoption of the AI in 2009, the City’s code enforcement process has improved. Staff of the City’s Permits, Planning and Zoning Department, and the Fire Department cooperate in the property inspection process and all other code-related matters. The two departments jointly perform all required certificate of occupancy and certificate of compliance inspections and do not require a separate licensing inspection for each certificate.</w:t>
      </w:r>
    </w:p>
    <w:p w14:paraId="62FBE1FE" w14:textId="5DFD7654" w:rsidR="00E0240C" w:rsidRPr="00AD4B4F" w:rsidRDefault="00E0240C" w:rsidP="00E0240C">
      <w:r w:rsidRPr="00AD4B4F">
        <w:t xml:space="preserve">The City’s zoning permitting process has also improved and has become more consistent and efficient. </w:t>
      </w:r>
    </w:p>
    <w:p w14:paraId="59F9900C" w14:textId="3097CD01" w:rsidR="0023288C" w:rsidRPr="00AD4B4F" w:rsidRDefault="00202916">
      <w:pPr>
        <w:widowControl w:val="0"/>
        <w:rPr>
          <w:b/>
          <w:sz w:val="24"/>
          <w:szCs w:val="24"/>
        </w:rPr>
      </w:pPr>
      <w:r w:rsidRPr="00AD4B4F">
        <w:rPr>
          <w:b/>
          <w:sz w:val="24"/>
          <w:szCs w:val="24"/>
        </w:rPr>
        <w:t>Actions taken to address obstacles to meeting underserved needs.  91.220(k); 91.320(j)</w:t>
      </w:r>
    </w:p>
    <w:p w14:paraId="4AA06D10" w14:textId="0784E684" w:rsidR="00114CA4" w:rsidRPr="00AD4B4F" w:rsidRDefault="00114CA4">
      <w:pPr>
        <w:widowControl w:val="0"/>
        <w:rPr>
          <w:b/>
          <w:sz w:val="24"/>
          <w:szCs w:val="24"/>
        </w:rPr>
      </w:pPr>
      <w:r w:rsidRPr="00AD4B4F">
        <w:t>In 2022, the City continually assessed the changing needs that emerged as a result of COVID-19, including assistance to businesses, rent and utility assistance, PPE, hazard pay, and financial education services.</w:t>
      </w:r>
    </w:p>
    <w:p w14:paraId="5617F333" w14:textId="6CA65D7F" w:rsidR="0023288C" w:rsidRPr="00AD4B4F" w:rsidRDefault="00202916">
      <w:pPr>
        <w:widowControl w:val="0"/>
        <w:rPr>
          <w:b/>
          <w:sz w:val="24"/>
          <w:szCs w:val="24"/>
        </w:rPr>
      </w:pPr>
      <w:r w:rsidRPr="00AD4B4F">
        <w:rPr>
          <w:b/>
          <w:sz w:val="24"/>
          <w:szCs w:val="24"/>
        </w:rPr>
        <w:t>Actions taken to reduce lead-based paint hazards. 91.220(k); 91.320(j)</w:t>
      </w:r>
    </w:p>
    <w:p w14:paraId="455DD529" w14:textId="3BC761D5" w:rsidR="000611AA" w:rsidRPr="00AD4B4F" w:rsidRDefault="000611AA">
      <w:pPr>
        <w:widowControl w:val="0"/>
        <w:rPr>
          <w:b/>
          <w:sz w:val="24"/>
          <w:szCs w:val="24"/>
        </w:rPr>
      </w:pPr>
      <w:r w:rsidRPr="00AD4B4F">
        <w:t>A significant number of children in the City have elevated levels of lead in their blood.  The City continues to incorporate lead-safe work practices and the removal of lead hazards during the implementation of its homeowner rehabilitation program. The City implemented changes to its rehab program in 2020 to encourage greater participation; however the COVID-19 pandemic deterred participation. The City’s revamped program targets seniors and making homes safe and habitable for seniors to age in place.</w:t>
      </w:r>
    </w:p>
    <w:p w14:paraId="6FD9D95F" w14:textId="7B1332D4" w:rsidR="0023288C" w:rsidRPr="00AD4B4F" w:rsidRDefault="00202916">
      <w:pPr>
        <w:widowControl w:val="0"/>
        <w:rPr>
          <w:b/>
          <w:sz w:val="24"/>
          <w:szCs w:val="24"/>
        </w:rPr>
      </w:pPr>
      <w:r w:rsidRPr="00AD4B4F">
        <w:rPr>
          <w:b/>
          <w:sz w:val="24"/>
          <w:szCs w:val="24"/>
        </w:rPr>
        <w:t>Actions taken to reduce the number of poverty-level families. 91.220(k); 91.320(j)</w:t>
      </w:r>
    </w:p>
    <w:p w14:paraId="386B4D82" w14:textId="77777777" w:rsidR="00FE6825" w:rsidRPr="00AD4B4F" w:rsidRDefault="00FE6825" w:rsidP="00FE6825">
      <w:r w:rsidRPr="00AD4B4F">
        <w:t>The resources that the City of York has to reduce the number of persons with incomes below the poverty level are limited. In 2022, the City continued to pursue and support various economic development and housing activities in an effort to provide an environment that attracted and retained businesses or facilitated the expansion of existing businesses to secure employment and increase incomes for City residents. The City was able to undertake the following activities to help lift families out of poverty:</w:t>
      </w:r>
    </w:p>
    <w:p w14:paraId="07893C50" w14:textId="0D8C71E6" w:rsidR="00FE6825" w:rsidRPr="00AD4B4F" w:rsidRDefault="00FE6825" w:rsidP="00FE6825">
      <w:pPr>
        <w:pStyle w:val="ListParagraph"/>
        <w:numPr>
          <w:ilvl w:val="0"/>
          <w:numId w:val="17"/>
        </w:numPr>
      </w:pPr>
      <w:r w:rsidRPr="00AD4B4F">
        <w:t xml:space="preserve">Bell Socialization/Rental Assistance Program – Rental assistance provided to homeless and near-homeless to secure and/or maintain housing.  </w:t>
      </w:r>
    </w:p>
    <w:p w14:paraId="36DB7280" w14:textId="77777777" w:rsidR="00FE6825" w:rsidRPr="00AD4B4F" w:rsidRDefault="00FE6825" w:rsidP="00FE6825">
      <w:pPr>
        <w:pStyle w:val="ListParagraph"/>
        <w:numPr>
          <w:ilvl w:val="0"/>
          <w:numId w:val="17"/>
        </w:numPr>
      </w:pPr>
      <w:r w:rsidRPr="00AD4B4F">
        <w:t>First-time Homebuyer Assistance- Counseling and down payment/closing cost assistance to first-time homebuyers.</w:t>
      </w:r>
    </w:p>
    <w:p w14:paraId="1BC45D23" w14:textId="5FFA4990" w:rsidR="00FE6825" w:rsidRPr="00AD4B4F" w:rsidRDefault="00FE6825" w:rsidP="00FE6825">
      <w:pPr>
        <w:pStyle w:val="ListParagraph"/>
        <w:numPr>
          <w:ilvl w:val="0"/>
          <w:numId w:val="17"/>
        </w:numPr>
      </w:pPr>
      <w:r w:rsidRPr="00AD4B4F">
        <w:t>Micro-Enterprise Assistance Program – Provided loans and technical assistance to small businesses to encourage creating or maintaining jobs.</w:t>
      </w:r>
    </w:p>
    <w:p w14:paraId="5735C9E0" w14:textId="77777777" w:rsidR="00FE6825" w:rsidRPr="00AD4B4F" w:rsidRDefault="00FE6825" w:rsidP="00FE6825">
      <w:pPr>
        <w:pStyle w:val="ListParagraph"/>
        <w:numPr>
          <w:ilvl w:val="0"/>
          <w:numId w:val="17"/>
        </w:numPr>
      </w:pPr>
      <w:r w:rsidRPr="00AD4B4F">
        <w:lastRenderedPageBreak/>
        <w:t>York County Literacy Council – Provided funding for English as a Second Language classes. Also provided funding for pre-GED instruction in reading, writing, math, computer, and critical thinking skills to serve as a springboard for more education, training and better jobs.</w:t>
      </w:r>
    </w:p>
    <w:p w14:paraId="2A91DA2A" w14:textId="458E7F20" w:rsidR="00FE6825" w:rsidRPr="00AD4B4F" w:rsidRDefault="00FE6825" w:rsidP="00FE6825">
      <w:pPr>
        <w:widowControl w:val="0"/>
        <w:rPr>
          <w:b/>
          <w:sz w:val="24"/>
          <w:szCs w:val="24"/>
        </w:rPr>
      </w:pPr>
      <w:r w:rsidRPr="00AD4B4F">
        <w:t>The varied activities helped to create job opportunities, reduce burdens (e.g. housing cost burden), and educationally/economically empower City residents, all of which prevented or alleviated poverty in the community. Additionally, the York Housing Authority continued the Family Self Sufficiency Program to its Housing Choice Voucher and Public Housing residents. Efforts in this program aim to help families rely less on assistance and more on earned income helping to lift them out of poverty.</w:t>
      </w:r>
    </w:p>
    <w:p w14:paraId="1374F64B" w14:textId="6CEE5771" w:rsidR="0023288C" w:rsidRPr="00AD4B4F" w:rsidRDefault="00202916">
      <w:pPr>
        <w:widowControl w:val="0"/>
        <w:rPr>
          <w:b/>
          <w:sz w:val="24"/>
          <w:szCs w:val="24"/>
        </w:rPr>
      </w:pPr>
      <w:r w:rsidRPr="00AD4B4F">
        <w:rPr>
          <w:b/>
          <w:sz w:val="24"/>
          <w:szCs w:val="24"/>
        </w:rPr>
        <w:t>Actions taken to develop institutional structure. 91.220(k); 91.320(j)</w:t>
      </w:r>
    </w:p>
    <w:p w14:paraId="0E9D8DA1" w14:textId="6A81C521" w:rsidR="009C6187" w:rsidRPr="00AD4B4F" w:rsidRDefault="009C6187" w:rsidP="009C6187">
      <w:r w:rsidRPr="00AD4B4F">
        <w:t>The City continues to collaborate with human and social service agencies and the Continuum of Care in 2022 to identify potential resources for meeting the service needs of City residents, just as it did with the onset of the COVID-19 pandemic in 2020 where coordination was the City’s institutional network of public sector, private sector, and non-profit organizations to identify the emergent needs for housing and community development services and their delivery were prioritized.</w:t>
      </w:r>
    </w:p>
    <w:p w14:paraId="09195A90" w14:textId="3D684FDA" w:rsidR="0023288C" w:rsidRPr="00AD4B4F" w:rsidRDefault="00202916">
      <w:pPr>
        <w:widowControl w:val="0"/>
        <w:rPr>
          <w:b/>
          <w:sz w:val="24"/>
          <w:szCs w:val="24"/>
        </w:rPr>
      </w:pPr>
      <w:r w:rsidRPr="00AD4B4F">
        <w:rPr>
          <w:b/>
          <w:sz w:val="24"/>
          <w:szCs w:val="24"/>
        </w:rPr>
        <w:t>Actions taken to enhance coordination between public and private housing and social service agencies. 91.220(k); 91.320(j)</w:t>
      </w:r>
    </w:p>
    <w:p w14:paraId="65CC3629" w14:textId="39ED1ED3" w:rsidR="00AE3287" w:rsidRPr="00AD4B4F" w:rsidRDefault="00AE3287" w:rsidP="00AE3287">
      <w:r w:rsidRPr="00AD4B4F">
        <w:t>The continued implementation of the Coordinated Entry System has also improved efficiency among homeless service providers in that as households present to the Continuum, they are evaluated based on needs and vulnerabilities and referred to appropriate services and agencies to meet their particular needs. As needs increased in 2020 as a result of the COVID-19 pandemic, the City ensured housing and service agencies were equipped with appropriate resources to provide adequate service. 2-1-1 also serves as a clearinghouse in the City where residents can call and receive information on a variety of services and programs available to them. The City and its partners ensure that information offered through 2-1-1 is up to date.</w:t>
      </w:r>
    </w:p>
    <w:p w14:paraId="2CB40C72" w14:textId="03D179A8" w:rsidR="0023288C" w:rsidRPr="00AD4B4F" w:rsidRDefault="00202916">
      <w:pPr>
        <w:widowControl w:val="0"/>
        <w:rPr>
          <w:b/>
          <w:sz w:val="24"/>
          <w:szCs w:val="24"/>
        </w:rPr>
      </w:pPr>
      <w:r w:rsidRPr="00AD4B4F">
        <w:rPr>
          <w:b/>
          <w:sz w:val="24"/>
          <w:szCs w:val="24"/>
        </w:rPr>
        <w:t>Identify actions taken to overcome the effects of any impediments identified in the jurisdictions analysis of impediments to fair housing choice.  91.520(a)</w:t>
      </w:r>
    </w:p>
    <w:p w14:paraId="02743EF9" w14:textId="77777777" w:rsidR="0003456B" w:rsidRPr="00AD4B4F" w:rsidRDefault="0003456B" w:rsidP="0003456B">
      <w:r w:rsidRPr="00AD4B4F">
        <w:t>Since the adoption of the AI in 2009, the City’s code enforcement process has improved. Staff of the City’s Permits, Planning and Zoning Department, and the Fire Department cooperate in the property inspection process and all other code-related matters. The two departments jointly perform all required certificate of occupancy and certificate of compliance inspections and do not require a separate licensing inspection for each certificate.</w:t>
      </w:r>
    </w:p>
    <w:p w14:paraId="1634CB9F" w14:textId="40A09060" w:rsidR="0003456B" w:rsidRPr="00AD4B4F" w:rsidRDefault="0003456B" w:rsidP="0003456B">
      <w:pPr>
        <w:widowControl w:val="0"/>
        <w:rPr>
          <w:b/>
          <w:sz w:val="24"/>
          <w:szCs w:val="24"/>
        </w:rPr>
      </w:pPr>
      <w:r w:rsidRPr="00AD4B4F">
        <w:t>The City’s zoning permitting process has also improved and has become more consistent and efficient.</w:t>
      </w:r>
    </w:p>
    <w:p w14:paraId="124E4BDB" w14:textId="77777777" w:rsidR="0023288C" w:rsidRPr="00AD4B4F" w:rsidRDefault="00202916">
      <w:pPr>
        <w:pStyle w:val="Heading2"/>
        <w:pageBreakBefore/>
        <w:widowControl w:val="0"/>
        <w:rPr>
          <w:rFonts w:ascii="Calibri" w:hAnsi="Calibri"/>
          <w:i w:val="0"/>
        </w:rPr>
      </w:pPr>
      <w:bookmarkStart w:id="9" w:name="_Toc127268200"/>
      <w:r w:rsidRPr="00AD4B4F">
        <w:rPr>
          <w:rFonts w:ascii="Calibri" w:hAnsi="Calibri"/>
          <w:i w:val="0"/>
        </w:rPr>
        <w:lastRenderedPageBreak/>
        <w:t>CR-40 - Monitoring 91.220 and 91.230</w:t>
      </w:r>
      <w:bookmarkEnd w:id="9"/>
    </w:p>
    <w:p w14:paraId="60C0CD40" w14:textId="77777777" w:rsidR="0023288C" w:rsidRPr="00AD4B4F" w:rsidRDefault="00202916">
      <w:pPr>
        <w:widowControl w:val="0"/>
        <w:rPr>
          <w:b/>
          <w:sz w:val="24"/>
          <w:szCs w:val="24"/>
        </w:rPr>
      </w:pPr>
      <w:r w:rsidRPr="00AD4B4F">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45611514" w14:textId="77777777" w:rsidR="00273BAB" w:rsidRPr="00AD4B4F" w:rsidRDefault="00273BAB" w:rsidP="00273BAB">
      <w:r w:rsidRPr="00AD4B4F">
        <w:t xml:space="preserve">The City of York's Bureau of Housing Services has primary responsibility for monitoring the CDBG and HOME activities. It keeps records on the progress toward meeting the Consolidated Plan goals and on the statutory and regulatory compliance of each activity. </w:t>
      </w:r>
    </w:p>
    <w:p w14:paraId="387269D9" w14:textId="77777777" w:rsidR="00273BAB" w:rsidRPr="00AD4B4F" w:rsidRDefault="00273BAB" w:rsidP="00273BAB">
      <w:r w:rsidRPr="00AD4B4F">
        <w:t xml:space="preserve">For each activity that is authorized under the National Affordable Housing Act, the Bureau has established fiscal and management procedures that ensure program compliance and funds accountability and that reports to HUD are complete and accurate. The Bureau of Housing Services carries out the subrecipient Monitoring Plan. </w:t>
      </w:r>
    </w:p>
    <w:p w14:paraId="18536B8C" w14:textId="77777777" w:rsidR="00273BAB" w:rsidRPr="00AD4B4F" w:rsidRDefault="00273BAB" w:rsidP="00273BAB">
      <w:r w:rsidRPr="00AD4B4F">
        <w:t xml:space="preserve">The objectives of the Monitoring Plan are: </w:t>
      </w:r>
    </w:p>
    <w:p w14:paraId="535198CC" w14:textId="77777777" w:rsidR="00273BAB" w:rsidRPr="00AD4B4F" w:rsidRDefault="00273BAB" w:rsidP="00273BAB">
      <w:pPr>
        <w:pStyle w:val="ListParagraph"/>
        <w:numPr>
          <w:ilvl w:val="0"/>
          <w:numId w:val="18"/>
        </w:numPr>
      </w:pPr>
      <w:r w:rsidRPr="00AD4B4F">
        <w:t xml:space="preserve">To ensure compliance with Federal statutory and regulatory requirements for CDBG and HOME Programs. </w:t>
      </w:r>
    </w:p>
    <w:p w14:paraId="7C5FBA20" w14:textId="77777777" w:rsidR="00273BAB" w:rsidRPr="00AD4B4F" w:rsidRDefault="00273BAB" w:rsidP="00273BAB">
      <w:pPr>
        <w:pStyle w:val="ListParagraph"/>
        <w:numPr>
          <w:ilvl w:val="0"/>
          <w:numId w:val="18"/>
        </w:numPr>
      </w:pPr>
      <w:r w:rsidRPr="00AD4B4F">
        <w:t xml:space="preserve">To ensure that funds are used effectively and for the purpose for which they were made available. </w:t>
      </w:r>
    </w:p>
    <w:p w14:paraId="7F744CAA" w14:textId="77777777" w:rsidR="00273BAB" w:rsidRPr="00AD4B4F" w:rsidRDefault="00273BAB" w:rsidP="00273BAB">
      <w:pPr>
        <w:pStyle w:val="ListParagraph"/>
        <w:numPr>
          <w:ilvl w:val="0"/>
          <w:numId w:val="18"/>
        </w:numPr>
      </w:pPr>
      <w:r w:rsidRPr="00AD4B4F">
        <w:t xml:space="preserve">To enhance the administrative and management capabilities of subrecipients through training, orientation, and technical assistance. </w:t>
      </w:r>
    </w:p>
    <w:p w14:paraId="2BAE1D74" w14:textId="77777777" w:rsidR="00273BAB" w:rsidRPr="00AD4B4F" w:rsidRDefault="00273BAB" w:rsidP="00273BAB">
      <w:pPr>
        <w:pStyle w:val="ListParagraph"/>
        <w:numPr>
          <w:ilvl w:val="0"/>
          <w:numId w:val="18"/>
        </w:numPr>
      </w:pPr>
      <w:r w:rsidRPr="00AD4B4F">
        <w:t xml:space="preserve">To ensure production and accountability. </w:t>
      </w:r>
    </w:p>
    <w:p w14:paraId="51ACC32E" w14:textId="77777777" w:rsidR="00273BAB" w:rsidRPr="00AD4B4F" w:rsidRDefault="00273BAB" w:rsidP="00273BAB">
      <w:pPr>
        <w:pStyle w:val="ListParagraph"/>
        <w:numPr>
          <w:ilvl w:val="0"/>
          <w:numId w:val="18"/>
        </w:numPr>
      </w:pPr>
      <w:r w:rsidRPr="00AD4B4F">
        <w:t xml:space="preserve">To evaluate organizational and project performance. </w:t>
      </w:r>
    </w:p>
    <w:p w14:paraId="6BC8A5F5" w14:textId="77777777" w:rsidR="00273BAB" w:rsidRPr="00AD4B4F" w:rsidRDefault="00273BAB" w:rsidP="00273BAB">
      <w:r w:rsidRPr="00AD4B4F">
        <w:t xml:space="preserve">The City continues to perform financial and programmatic monitoring through reviews of requests for reimbursement, activity reports, and client benefit reports. The reports document sub-recipient progress, compliance with funding agreements, and numbers and characteristics of beneficiaries. Maintaining complete and accurate project files is an important aspect of program monitoring.  </w:t>
      </w:r>
    </w:p>
    <w:p w14:paraId="0B939793" w14:textId="77777777" w:rsidR="00273BAB" w:rsidRPr="00AD4B4F" w:rsidRDefault="00273BAB" w:rsidP="00273BAB">
      <w:r w:rsidRPr="00AD4B4F">
        <w:t xml:space="preserve">During its regular monitoring visits, the City ensures construction projects subject to Section 3, Davis-Bacon Wage Rates, Minority and Women-Owned businesses, Housing Quality Standards, Section 504/ADA, and other federal requirements are in compliance.  </w:t>
      </w:r>
    </w:p>
    <w:p w14:paraId="382AA7B6" w14:textId="77777777" w:rsidR="00273BAB" w:rsidRPr="00AD4B4F" w:rsidRDefault="00273BAB" w:rsidP="00273BAB">
      <w:r w:rsidRPr="00AD4B4F">
        <w:t>To ensure compliance, the City monitors each sub-recipient and required periodic, timely, and complete written reports on beneficiaries and submission of annual audits. The HOME monitoring/inspection projects are listed in CR-50.</w:t>
      </w:r>
    </w:p>
    <w:p w14:paraId="682DA0B7" w14:textId="350099D7" w:rsidR="0023288C" w:rsidRPr="00AD4B4F" w:rsidRDefault="00273BAB" w:rsidP="00273BAB">
      <w:r w:rsidRPr="00AD4B4F">
        <w:t>The City of York encouraged participation by minority-owned businesses in CDBG and HOME assisted activities. The City maintained records concerning the participation of minority-owned businesses to assess the results of its efforts and to complete the semi-annual “Minority Business Enterprise Report” to HUD.</w:t>
      </w:r>
    </w:p>
    <w:p w14:paraId="397B736F" w14:textId="34A6FDEA" w:rsidR="0023288C" w:rsidRPr="00AD4B4F" w:rsidRDefault="00202916">
      <w:pPr>
        <w:widowControl w:val="0"/>
        <w:rPr>
          <w:b/>
          <w:sz w:val="24"/>
          <w:szCs w:val="24"/>
        </w:rPr>
      </w:pPr>
      <w:r w:rsidRPr="00AD4B4F">
        <w:rPr>
          <w:b/>
          <w:sz w:val="24"/>
          <w:szCs w:val="24"/>
        </w:rPr>
        <w:lastRenderedPageBreak/>
        <w:t>Citizen Participation Plan 91.105(d); 91.115(d)</w:t>
      </w:r>
    </w:p>
    <w:p w14:paraId="0567B9ED" w14:textId="4720BA30" w:rsidR="008C6069" w:rsidRPr="00AD4B4F" w:rsidRDefault="008C6069" w:rsidP="008C6069">
      <w:r w:rsidRPr="00AD4B4F">
        <w:t xml:space="preserve">The City maintains records that document participation and consistency actions taken each program year. All of the City’s substantial amendments require a 30 day public review and comment period as well as a public hearing. </w:t>
      </w:r>
    </w:p>
    <w:p w14:paraId="500832D4" w14:textId="34678C0D" w:rsidR="0023288C" w:rsidRPr="00AD4B4F" w:rsidRDefault="00202916">
      <w:pPr>
        <w:widowControl w:val="0"/>
        <w:rPr>
          <w:sz w:val="24"/>
          <w:szCs w:val="24"/>
        </w:rPr>
      </w:pPr>
      <w:r w:rsidRPr="00AD4B4F">
        <w:rPr>
          <w:b/>
          <w:sz w:val="24"/>
          <w:szCs w:val="24"/>
        </w:rPr>
        <w:t>Describe the efforts to provide citizens with reasonable notice and an opportunity to comment on performance reports</w:t>
      </w:r>
      <w:r w:rsidRPr="00AD4B4F">
        <w:rPr>
          <w:sz w:val="24"/>
          <w:szCs w:val="24"/>
        </w:rPr>
        <w:t>.</w:t>
      </w:r>
    </w:p>
    <w:p w14:paraId="03748E1E" w14:textId="302E9CD8" w:rsidR="00013F4A" w:rsidRPr="00AD4B4F" w:rsidRDefault="00013F4A" w:rsidP="00013F4A">
      <w:r w:rsidRPr="00AD4B4F">
        <w:t>Ads were placed in the York Dispatch and the York Daily Record newspapers notifying the community of a public hearing, held March 1, 2023, to obtain input on performance reports and the availability of the FY 2021 CAPER for public review beginning on February 28, 2023. The advertisement stipulated that comments received through March 14, 2023 would be considered, providing a 15-day comment period. The notice can be found attached in IDIS. No public comments were received from the public review period.</w:t>
      </w:r>
    </w:p>
    <w:p w14:paraId="6592D01F" w14:textId="77777777" w:rsidR="0023288C" w:rsidRPr="00AD4B4F" w:rsidRDefault="00202916">
      <w:pPr>
        <w:keepNext/>
        <w:pageBreakBefore/>
        <w:widowControl w:val="0"/>
        <w:spacing w:before="240" w:after="60"/>
        <w:outlineLvl w:val="1"/>
        <w:rPr>
          <w:rFonts w:cs="Arial"/>
          <w:b/>
          <w:bCs/>
          <w:iCs/>
          <w:sz w:val="28"/>
          <w:szCs w:val="28"/>
        </w:rPr>
      </w:pPr>
      <w:bookmarkStart w:id="10" w:name="_Toc127268201"/>
      <w:r w:rsidRPr="00AD4B4F">
        <w:rPr>
          <w:rFonts w:cs="Arial"/>
          <w:b/>
          <w:bCs/>
          <w:iCs/>
          <w:sz w:val="28"/>
          <w:szCs w:val="28"/>
        </w:rPr>
        <w:lastRenderedPageBreak/>
        <w:t>CR-45 - CDBG 91.520(c)</w:t>
      </w:r>
      <w:bookmarkEnd w:id="10"/>
    </w:p>
    <w:p w14:paraId="4C471EAF" w14:textId="42390C66" w:rsidR="0023288C" w:rsidRPr="00AD4B4F" w:rsidRDefault="00202916">
      <w:pPr>
        <w:widowControl w:val="0"/>
        <w:rPr>
          <w:b/>
          <w:sz w:val="24"/>
          <w:szCs w:val="24"/>
        </w:rPr>
      </w:pPr>
      <w:r w:rsidRPr="00AD4B4F">
        <w:rPr>
          <w:b/>
          <w:sz w:val="24"/>
          <w:szCs w:val="24"/>
        </w:rPr>
        <w:t>Specify the nature of, and reasons for, any changes in the jurisdiction’s program objectives and indications of how the jurisdiction would change its programs as a result of its experiences.</w:t>
      </w:r>
    </w:p>
    <w:p w14:paraId="219D7C93" w14:textId="644576A6" w:rsidR="00E32867" w:rsidRPr="00AD4B4F" w:rsidRDefault="00E32867">
      <w:pPr>
        <w:widowControl w:val="0"/>
        <w:rPr>
          <w:bCs/>
          <w:sz w:val="24"/>
          <w:szCs w:val="24"/>
        </w:rPr>
      </w:pPr>
      <w:r w:rsidRPr="00AD4B4F">
        <w:rPr>
          <w:bCs/>
          <w:sz w:val="24"/>
          <w:szCs w:val="24"/>
        </w:rPr>
        <w:t>No changes are planned for the City’s program objectives.</w:t>
      </w:r>
    </w:p>
    <w:p w14:paraId="5F710F37" w14:textId="57E5B4B1" w:rsidR="0023288C" w:rsidRPr="00AD4B4F" w:rsidRDefault="00202916">
      <w:pPr>
        <w:widowControl w:val="0"/>
        <w:rPr>
          <w:b/>
          <w:sz w:val="24"/>
          <w:szCs w:val="24"/>
        </w:rPr>
      </w:pPr>
      <w:r w:rsidRPr="00AD4B4F">
        <w:rPr>
          <w:b/>
          <w:sz w:val="24"/>
          <w:szCs w:val="24"/>
        </w:rPr>
        <w:t>Does this Jurisdiction have any open Brownfields Economic Development Initiative (BEDI) grants?</w:t>
      </w:r>
    </w:p>
    <w:p w14:paraId="2251C3D8" w14:textId="2B817BF1" w:rsidR="00E32867" w:rsidRPr="00AD4B4F" w:rsidRDefault="00E73E14">
      <w:pPr>
        <w:widowControl w:val="0"/>
        <w:rPr>
          <w:bCs/>
          <w:sz w:val="24"/>
          <w:szCs w:val="24"/>
        </w:rPr>
      </w:pPr>
      <w:r>
        <w:rPr>
          <w:bCs/>
          <w:sz w:val="24"/>
          <w:szCs w:val="24"/>
        </w:rPr>
        <w:t>No.</w:t>
      </w:r>
    </w:p>
    <w:p w14:paraId="0F61A38D" w14:textId="77777777" w:rsidR="0023288C" w:rsidRPr="00AD4B4F" w:rsidRDefault="00202916">
      <w:pPr>
        <w:widowControl w:val="0"/>
        <w:rPr>
          <w:b/>
          <w:sz w:val="24"/>
          <w:szCs w:val="24"/>
        </w:rPr>
      </w:pPr>
      <w:r w:rsidRPr="00AD4B4F">
        <w:rPr>
          <w:b/>
          <w:sz w:val="24"/>
          <w:szCs w:val="24"/>
        </w:rPr>
        <w:t>[BEDI grantees]  Describe accomplishments and program outcomes during the last year.</w:t>
      </w:r>
    </w:p>
    <w:p w14:paraId="2FCC0149" w14:textId="77777777" w:rsidR="0023288C" w:rsidRPr="00AD4B4F" w:rsidRDefault="0023288C"/>
    <w:p w14:paraId="405A15AD" w14:textId="77777777" w:rsidR="0023288C" w:rsidRPr="00AD4B4F" w:rsidRDefault="0023288C"/>
    <w:p w14:paraId="5AFE649D" w14:textId="77777777" w:rsidR="0023288C" w:rsidRPr="00AD4B4F" w:rsidRDefault="00202916">
      <w:pPr>
        <w:pStyle w:val="Heading2"/>
        <w:pageBreakBefore/>
        <w:widowControl w:val="0"/>
        <w:rPr>
          <w:rFonts w:ascii="Calibri" w:hAnsi="Calibri"/>
          <w:i w:val="0"/>
        </w:rPr>
      </w:pPr>
      <w:bookmarkStart w:id="11" w:name="_Toc127268202"/>
      <w:r w:rsidRPr="00AD4B4F">
        <w:rPr>
          <w:rFonts w:ascii="Calibri" w:hAnsi="Calibri"/>
          <w:i w:val="0"/>
        </w:rPr>
        <w:lastRenderedPageBreak/>
        <w:t>CR-50 - HOME 91.520(d)</w:t>
      </w:r>
      <w:bookmarkEnd w:id="11"/>
    </w:p>
    <w:p w14:paraId="6C66C1E9" w14:textId="77777777" w:rsidR="0023288C" w:rsidRPr="00AD4B4F" w:rsidRDefault="00202916">
      <w:pPr>
        <w:widowControl w:val="0"/>
        <w:rPr>
          <w:b/>
          <w:sz w:val="24"/>
          <w:szCs w:val="24"/>
        </w:rPr>
      </w:pPr>
      <w:r w:rsidRPr="00AD4B4F">
        <w:rPr>
          <w:b/>
          <w:sz w:val="24"/>
          <w:szCs w:val="24"/>
        </w:rPr>
        <w:t xml:space="preserve">Include the results of on-site inspections of affordable rental housing assisted under the program to determine compliance with housing codes and other applicable regulations </w:t>
      </w:r>
    </w:p>
    <w:p w14:paraId="3D29F08B" w14:textId="71496909" w:rsidR="0023288C" w:rsidRPr="00AD4B4F" w:rsidRDefault="00202916">
      <w:pPr>
        <w:widowControl w:val="0"/>
        <w:rPr>
          <w:b/>
          <w:bCs/>
          <w:sz w:val="24"/>
          <w:szCs w:val="24"/>
        </w:rPr>
      </w:pPr>
      <w:r w:rsidRPr="00AD4B4F">
        <w:rPr>
          <w:b/>
          <w:bCs/>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14:paraId="0B83076A" w14:textId="77777777" w:rsidR="00207AB9" w:rsidRPr="00AD4B4F" w:rsidRDefault="00207AB9" w:rsidP="00207AB9">
      <w:r w:rsidRPr="00AD4B4F">
        <w:t xml:space="preserve">As required by 24 CFR 92.504(d), during the required affordability period for HOME-assisted rental units, the Program Compliance Specialist performed on-site inspections of HOME-assisted rental housing to determine compliance with the HUD-required property standards of 24 CFR 92.251. As required by HUD, HOME-assisted rental projects with total units from one to four (1-4) units are inspected every three (3) years, projects from five to twenty-five (5-25) units are inspected every two (2) years; and projects with twenty-six (26) or more units are inspected annually. The following housing developments were monitored in 2022:  </w:t>
      </w:r>
    </w:p>
    <w:p w14:paraId="3CC03657" w14:textId="77777777" w:rsidR="00207AB9" w:rsidRPr="00AD4B4F" w:rsidRDefault="00207AB9" w:rsidP="00207AB9">
      <w:r w:rsidRPr="00AD4B4F">
        <w:t>Crispus Attucks CA/SHP, Crispus Attucks SKW, East King Street Apts, George Street Commons, Historic Fairmont, Liberty Apts, RDA 594 W. Princess Street, Smyser Street Apts, State Street Apts, Homes at Thackston Park, YMCA SRO, York SMB scattered Site.</w:t>
      </w:r>
    </w:p>
    <w:p w14:paraId="284F7688" w14:textId="7EEC334B" w:rsidR="00207AB9" w:rsidRPr="00AD4B4F" w:rsidRDefault="00207AB9" w:rsidP="00207AB9">
      <w:r w:rsidRPr="00AD4B4F">
        <w:t>Problems identified with resident files in terms of eligibility determination and physical upkeep have been resolved and or corrective action has been initiated.</w:t>
      </w:r>
    </w:p>
    <w:p w14:paraId="0CFDE9BA" w14:textId="4AAD2915" w:rsidR="0023288C" w:rsidRPr="00AD4B4F" w:rsidRDefault="00202916">
      <w:pPr>
        <w:widowControl w:val="0"/>
        <w:rPr>
          <w:b/>
          <w:sz w:val="24"/>
          <w:szCs w:val="24"/>
        </w:rPr>
      </w:pPr>
      <w:r w:rsidRPr="00AD4B4F">
        <w:rPr>
          <w:b/>
          <w:sz w:val="24"/>
          <w:szCs w:val="24"/>
        </w:rPr>
        <w:t>Provide an assessment of the jurisdiction's affirmative marketing actions for HOME units. 92.351(b)</w:t>
      </w:r>
    </w:p>
    <w:p w14:paraId="700DF626" w14:textId="62A902BE" w:rsidR="00E43AD1" w:rsidRPr="00AD4B4F" w:rsidRDefault="00E43AD1">
      <w:pPr>
        <w:widowControl w:val="0"/>
        <w:rPr>
          <w:b/>
          <w:sz w:val="24"/>
          <w:szCs w:val="24"/>
        </w:rPr>
      </w:pPr>
      <w:r w:rsidRPr="00AD4B4F">
        <w:t>The City of York uses affirmative marketing strategies in its projects. There were no new projects in 2022 that were required to submit an affirmative marketing plan. However, those projects monitored in 2021 all had affirmative marketing plans in place and are reviewed during monitoring. The Community Housing Development Organization (CHDO) agreement between Y-Community Development Corporation, York Area Development Corporation, Creating Opportunities in Neighborhood Environments (CONE) are required by the City of York to develop and utilize an Affirmative Marketing Plan in the sale and/or rental of HOME assisted units.</w:t>
      </w:r>
    </w:p>
    <w:p w14:paraId="03FC4743" w14:textId="7F734591" w:rsidR="0023288C" w:rsidRPr="00AD4B4F" w:rsidRDefault="00202916">
      <w:pPr>
        <w:widowControl w:val="0"/>
        <w:rPr>
          <w:b/>
          <w:sz w:val="24"/>
          <w:szCs w:val="24"/>
        </w:rPr>
      </w:pPr>
      <w:r w:rsidRPr="00AD4B4F">
        <w:rPr>
          <w:b/>
          <w:sz w:val="24"/>
          <w:szCs w:val="24"/>
        </w:rPr>
        <w:t>Refer to IDIS reports to describe the amount and use of program income for projects, including the number of projects and owner and tenant characteristics</w:t>
      </w:r>
    </w:p>
    <w:p w14:paraId="0440CDFB" w14:textId="0C09981D" w:rsidR="00AD7523" w:rsidRPr="00AD4B4F" w:rsidRDefault="00AD7523" w:rsidP="00AD7523">
      <w:r w:rsidRPr="00AD4B4F">
        <w:t>No Program Income was received or utilized in 2022.</w:t>
      </w:r>
    </w:p>
    <w:p w14:paraId="44D5BAC9" w14:textId="64AEE0DD" w:rsidR="0023288C" w:rsidRPr="00AD4B4F" w:rsidRDefault="00202916" w:rsidP="00783A85">
      <w:pPr>
        <w:widowControl w:val="0"/>
      </w:pPr>
      <w:r w:rsidRPr="00AD4B4F">
        <w:rPr>
          <w:b/>
          <w:sz w:val="24"/>
          <w:szCs w:val="24"/>
        </w:rPr>
        <w:t>Describe other actions taken to foster and maintain affordable housing.  91.220(k) (STATES ONLY: Including the coordination of LIHTC with the development of affordable housing).  91.320(j)</w:t>
      </w:r>
    </w:p>
    <w:p w14:paraId="566B9D4A" w14:textId="77777777" w:rsidR="0023288C" w:rsidRPr="00AD4B4F" w:rsidRDefault="00202916">
      <w:pPr>
        <w:pStyle w:val="Heading2"/>
        <w:keepNext w:val="0"/>
        <w:pageBreakBefore/>
        <w:widowControl w:val="0"/>
        <w:rPr>
          <w:rFonts w:ascii="Calibri" w:hAnsi="Calibri"/>
          <w:i w:val="0"/>
        </w:rPr>
      </w:pPr>
      <w:bookmarkStart w:id="12" w:name="_Toc127268203"/>
      <w:r w:rsidRPr="00AD4B4F">
        <w:rPr>
          <w:rFonts w:ascii="Calibri" w:hAnsi="Calibri"/>
          <w:i w:val="0"/>
        </w:rPr>
        <w:lastRenderedPageBreak/>
        <w:t>CR-58 – Section 3</w:t>
      </w:r>
      <w:bookmarkEnd w:id="12"/>
    </w:p>
    <w:p w14:paraId="797E0BC7" w14:textId="77777777" w:rsidR="0023288C" w:rsidRPr="00AD4B4F" w:rsidRDefault="00202916">
      <w:pPr>
        <w:widowControl w:val="0"/>
        <w:rPr>
          <w:b/>
          <w:sz w:val="24"/>
          <w:szCs w:val="24"/>
        </w:rPr>
      </w:pPr>
      <w:r w:rsidRPr="00AD4B4F">
        <w:rPr>
          <w:b/>
          <w:sz w:val="24"/>
          <w:szCs w:val="24"/>
        </w:rPr>
        <w:t xml:space="preserve">Identify the number of individuals assisted and the types of assistance provided </w:t>
      </w:r>
    </w:p>
    <w:p w14:paraId="7396C0B5" w14:textId="77777777" w:rsidR="0023288C" w:rsidRPr="00AD4B4F" w:rsidRDefault="0023288C">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23288C" w:rsidRPr="00AD4B4F" w14:paraId="12DA197B" w14:textId="77777777">
        <w:trPr>
          <w:cantSplit/>
        </w:trPr>
        <w:tc>
          <w:tcPr>
            <w:tcW w:w="5490" w:type="dxa"/>
          </w:tcPr>
          <w:p w14:paraId="796BE3D9" w14:textId="77777777" w:rsidR="0023288C" w:rsidRPr="00AD4B4F" w:rsidRDefault="00202916">
            <w:pPr>
              <w:keepNext/>
              <w:widowControl w:val="0"/>
              <w:tabs>
                <w:tab w:val="left" w:pos="2070"/>
              </w:tabs>
              <w:spacing w:after="0" w:line="240" w:lineRule="auto"/>
              <w:ind w:right="162"/>
              <w:jc w:val="center"/>
              <w:rPr>
                <w:b/>
              </w:rPr>
            </w:pPr>
            <w:r w:rsidRPr="00AD4B4F">
              <w:rPr>
                <w:b/>
              </w:rPr>
              <w:t>Total Labor Hours</w:t>
            </w:r>
          </w:p>
        </w:tc>
        <w:tc>
          <w:tcPr>
            <w:tcW w:w="810" w:type="dxa"/>
          </w:tcPr>
          <w:p w14:paraId="3B110507" w14:textId="77777777" w:rsidR="0023288C" w:rsidRPr="00AD4B4F" w:rsidRDefault="00202916">
            <w:pPr>
              <w:keepNext/>
              <w:widowControl w:val="0"/>
              <w:spacing w:after="0" w:line="240" w:lineRule="auto"/>
              <w:jc w:val="center"/>
              <w:rPr>
                <w:b/>
              </w:rPr>
            </w:pPr>
            <w:r w:rsidRPr="00AD4B4F">
              <w:rPr>
                <w:b/>
              </w:rPr>
              <w:t>CDBG</w:t>
            </w:r>
          </w:p>
        </w:tc>
        <w:tc>
          <w:tcPr>
            <w:tcW w:w="900" w:type="dxa"/>
          </w:tcPr>
          <w:p w14:paraId="16FAA780" w14:textId="77777777" w:rsidR="0023288C" w:rsidRPr="00AD4B4F" w:rsidRDefault="00202916">
            <w:pPr>
              <w:keepNext/>
              <w:widowControl w:val="0"/>
              <w:spacing w:after="0" w:line="240" w:lineRule="auto"/>
              <w:jc w:val="center"/>
              <w:rPr>
                <w:b/>
              </w:rPr>
            </w:pPr>
            <w:r w:rsidRPr="00AD4B4F">
              <w:rPr>
                <w:b/>
              </w:rPr>
              <w:t>HOME</w:t>
            </w:r>
          </w:p>
        </w:tc>
        <w:tc>
          <w:tcPr>
            <w:tcW w:w="720" w:type="dxa"/>
          </w:tcPr>
          <w:p w14:paraId="28F897B1" w14:textId="77777777" w:rsidR="0023288C" w:rsidRPr="00AD4B4F" w:rsidRDefault="00202916">
            <w:pPr>
              <w:keepNext/>
              <w:widowControl w:val="0"/>
              <w:spacing w:after="0" w:line="240" w:lineRule="auto"/>
              <w:rPr>
                <w:b/>
              </w:rPr>
            </w:pPr>
            <w:r w:rsidRPr="00AD4B4F">
              <w:rPr>
                <w:b/>
              </w:rPr>
              <w:t>ESG</w:t>
            </w:r>
          </w:p>
        </w:tc>
        <w:tc>
          <w:tcPr>
            <w:tcW w:w="990" w:type="dxa"/>
          </w:tcPr>
          <w:p w14:paraId="63E031FF" w14:textId="77777777" w:rsidR="0023288C" w:rsidRPr="00AD4B4F" w:rsidRDefault="00202916">
            <w:pPr>
              <w:keepNext/>
              <w:widowControl w:val="0"/>
              <w:spacing w:after="0" w:line="240" w:lineRule="auto"/>
              <w:jc w:val="center"/>
              <w:rPr>
                <w:b/>
              </w:rPr>
            </w:pPr>
            <w:r w:rsidRPr="00AD4B4F">
              <w:rPr>
                <w:b/>
              </w:rPr>
              <w:t>HOPWA</w:t>
            </w:r>
          </w:p>
        </w:tc>
        <w:tc>
          <w:tcPr>
            <w:tcW w:w="720" w:type="dxa"/>
          </w:tcPr>
          <w:p w14:paraId="2AEAF588" w14:textId="77777777" w:rsidR="0023288C" w:rsidRPr="00AD4B4F" w:rsidRDefault="00202916">
            <w:pPr>
              <w:keepNext/>
              <w:widowControl w:val="0"/>
              <w:spacing w:after="0" w:line="240" w:lineRule="auto"/>
              <w:jc w:val="center"/>
              <w:rPr>
                <w:b/>
              </w:rPr>
            </w:pPr>
            <w:r w:rsidRPr="00AD4B4F">
              <w:rPr>
                <w:b/>
              </w:rPr>
              <w:t>HTF</w:t>
            </w:r>
          </w:p>
        </w:tc>
      </w:tr>
      <w:tr w:rsidR="0023288C" w:rsidRPr="00AD4B4F" w14:paraId="68852340" w14:textId="77777777">
        <w:trPr>
          <w:cantSplit/>
        </w:trPr>
        <w:tc>
          <w:tcPr>
            <w:tcW w:w="5490" w:type="dxa"/>
            <w:vAlign w:val="center"/>
          </w:tcPr>
          <w:p w14:paraId="54104A91" w14:textId="77777777" w:rsidR="0023288C" w:rsidRPr="00AD4B4F" w:rsidRDefault="00202916">
            <w:pPr>
              <w:spacing w:beforeAutospacing="1" w:afterAutospacing="1"/>
            </w:pPr>
            <w:r w:rsidRPr="00AD4B4F">
              <w:rPr>
                <w:rFonts w:ascii="Arial" w:hAnsi="Arial"/>
                <w:color w:val="25396E"/>
                <w:sz w:val="16"/>
              </w:rPr>
              <w:t>Total Number of Activities</w:t>
            </w:r>
          </w:p>
        </w:tc>
        <w:tc>
          <w:tcPr>
            <w:tcW w:w="810" w:type="dxa"/>
            <w:vAlign w:val="center"/>
          </w:tcPr>
          <w:p w14:paraId="10097013" w14:textId="77777777" w:rsidR="0023288C" w:rsidRPr="00AD4B4F" w:rsidRDefault="00202916">
            <w:pPr>
              <w:spacing w:beforeAutospacing="1" w:afterAutospacing="1"/>
              <w:jc w:val="right"/>
            </w:pPr>
            <w:r w:rsidRPr="00AD4B4F">
              <w:rPr>
                <w:rFonts w:ascii="Arial" w:hAnsi="Arial"/>
                <w:color w:val="000000"/>
                <w:sz w:val="16"/>
              </w:rPr>
              <w:t>0</w:t>
            </w:r>
          </w:p>
        </w:tc>
        <w:tc>
          <w:tcPr>
            <w:tcW w:w="900" w:type="dxa"/>
            <w:vAlign w:val="center"/>
          </w:tcPr>
          <w:p w14:paraId="551D42BF" w14:textId="77777777" w:rsidR="0023288C" w:rsidRPr="00AD4B4F" w:rsidRDefault="00202916">
            <w:pPr>
              <w:spacing w:beforeAutospacing="1" w:afterAutospacing="1"/>
              <w:jc w:val="right"/>
            </w:pPr>
            <w:r w:rsidRPr="00AD4B4F">
              <w:rPr>
                <w:rFonts w:ascii="Arial" w:hAnsi="Arial"/>
                <w:color w:val="000000"/>
                <w:sz w:val="16"/>
              </w:rPr>
              <w:t>0</w:t>
            </w:r>
          </w:p>
        </w:tc>
        <w:tc>
          <w:tcPr>
            <w:tcW w:w="720" w:type="dxa"/>
            <w:vAlign w:val="center"/>
          </w:tcPr>
          <w:p w14:paraId="5E967BEA" w14:textId="77777777" w:rsidR="0023288C" w:rsidRPr="00AD4B4F" w:rsidRDefault="00202916">
            <w:pPr>
              <w:spacing w:beforeAutospacing="1" w:afterAutospacing="1"/>
              <w:jc w:val="right"/>
            </w:pPr>
            <w:r w:rsidRPr="00AD4B4F">
              <w:rPr>
                <w:rFonts w:ascii="Arial" w:hAnsi="Arial"/>
                <w:color w:val="000000"/>
                <w:sz w:val="16"/>
              </w:rPr>
              <w:t>0</w:t>
            </w:r>
          </w:p>
        </w:tc>
        <w:tc>
          <w:tcPr>
            <w:tcW w:w="990" w:type="dxa"/>
            <w:vAlign w:val="center"/>
          </w:tcPr>
          <w:p w14:paraId="4E1CBABD" w14:textId="77777777" w:rsidR="0023288C" w:rsidRPr="00AD4B4F" w:rsidRDefault="00202916">
            <w:pPr>
              <w:spacing w:beforeAutospacing="1" w:afterAutospacing="1"/>
              <w:jc w:val="right"/>
            </w:pPr>
            <w:r w:rsidRPr="00AD4B4F">
              <w:rPr>
                <w:rFonts w:ascii="Arial" w:hAnsi="Arial"/>
                <w:color w:val="000000"/>
                <w:sz w:val="16"/>
              </w:rPr>
              <w:t>0</w:t>
            </w:r>
          </w:p>
        </w:tc>
        <w:tc>
          <w:tcPr>
            <w:tcW w:w="720" w:type="dxa"/>
            <w:vAlign w:val="center"/>
          </w:tcPr>
          <w:p w14:paraId="3F34D2BB" w14:textId="77777777" w:rsidR="0023288C" w:rsidRPr="00AD4B4F" w:rsidRDefault="00202916">
            <w:pPr>
              <w:spacing w:beforeAutospacing="1" w:afterAutospacing="1"/>
              <w:jc w:val="right"/>
            </w:pPr>
            <w:r w:rsidRPr="00AD4B4F">
              <w:rPr>
                <w:rFonts w:ascii="Arial" w:hAnsi="Arial"/>
                <w:color w:val="000000"/>
                <w:sz w:val="16"/>
              </w:rPr>
              <w:t>0</w:t>
            </w:r>
          </w:p>
        </w:tc>
      </w:tr>
      <w:tr w:rsidR="0023288C" w:rsidRPr="00AD4B4F" w14:paraId="1D2A7C5F" w14:textId="77777777">
        <w:trPr>
          <w:cantSplit/>
        </w:trPr>
        <w:tc>
          <w:tcPr>
            <w:tcW w:w="5490" w:type="dxa"/>
            <w:vAlign w:val="center"/>
          </w:tcPr>
          <w:p w14:paraId="56A64DDA" w14:textId="77777777" w:rsidR="0023288C" w:rsidRPr="00AD4B4F" w:rsidRDefault="00202916">
            <w:pPr>
              <w:spacing w:beforeAutospacing="1" w:afterAutospacing="1"/>
            </w:pPr>
            <w:r w:rsidRPr="00AD4B4F">
              <w:rPr>
                <w:rFonts w:ascii="Arial" w:hAnsi="Arial"/>
                <w:color w:val="25396E"/>
                <w:sz w:val="16"/>
              </w:rPr>
              <w:t>Total Labor Hours</w:t>
            </w:r>
          </w:p>
        </w:tc>
        <w:tc>
          <w:tcPr>
            <w:tcW w:w="810" w:type="dxa"/>
            <w:vAlign w:val="center"/>
          </w:tcPr>
          <w:p w14:paraId="45058AD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00AC7AD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3F0E23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7B244C72"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3A95BAC2"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51D4274C" w14:textId="77777777">
        <w:trPr>
          <w:cantSplit/>
        </w:trPr>
        <w:tc>
          <w:tcPr>
            <w:tcW w:w="5490" w:type="dxa"/>
            <w:vAlign w:val="center"/>
          </w:tcPr>
          <w:p w14:paraId="01F1FE77" w14:textId="77777777" w:rsidR="0023288C" w:rsidRPr="00AD4B4F" w:rsidRDefault="00202916">
            <w:pPr>
              <w:spacing w:beforeAutospacing="1" w:afterAutospacing="1"/>
            </w:pPr>
            <w:r w:rsidRPr="00AD4B4F">
              <w:rPr>
                <w:rFonts w:ascii="Arial" w:hAnsi="Arial"/>
                <w:color w:val="25396E"/>
                <w:sz w:val="16"/>
              </w:rPr>
              <w:t>Total Section 3 Worker Hours</w:t>
            </w:r>
          </w:p>
        </w:tc>
        <w:tc>
          <w:tcPr>
            <w:tcW w:w="810" w:type="dxa"/>
            <w:vAlign w:val="center"/>
          </w:tcPr>
          <w:p w14:paraId="3BBBC651"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2DB3D5E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7223D3C"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7940EB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605A692"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7E8355CB" w14:textId="77777777">
        <w:trPr>
          <w:cantSplit/>
        </w:trPr>
        <w:tc>
          <w:tcPr>
            <w:tcW w:w="5490" w:type="dxa"/>
            <w:vAlign w:val="center"/>
          </w:tcPr>
          <w:p w14:paraId="52F47CFA" w14:textId="77777777" w:rsidR="0023288C" w:rsidRPr="00AD4B4F" w:rsidRDefault="00202916">
            <w:pPr>
              <w:spacing w:beforeAutospacing="1" w:afterAutospacing="1"/>
            </w:pPr>
            <w:r w:rsidRPr="00AD4B4F">
              <w:rPr>
                <w:rFonts w:ascii="Arial" w:hAnsi="Arial"/>
                <w:color w:val="25396E"/>
                <w:sz w:val="16"/>
              </w:rPr>
              <w:t>Total Targeted Section 3 Worker Hours</w:t>
            </w:r>
          </w:p>
        </w:tc>
        <w:tc>
          <w:tcPr>
            <w:tcW w:w="810" w:type="dxa"/>
            <w:vAlign w:val="center"/>
          </w:tcPr>
          <w:p w14:paraId="086B720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1D01CC36"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903F56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57EA5CB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4F2B7D5" w14:textId="77777777" w:rsidR="0023288C" w:rsidRPr="00AD4B4F" w:rsidRDefault="00202916">
            <w:pPr>
              <w:spacing w:beforeAutospacing="1" w:afterAutospacing="1"/>
              <w:jc w:val="right"/>
            </w:pPr>
            <w:r w:rsidRPr="00AD4B4F">
              <w:rPr>
                <w:rFonts w:ascii="Arial" w:hAnsi="Arial"/>
                <w:color w:val="000000"/>
                <w:sz w:val="16"/>
              </w:rPr>
              <w:t xml:space="preserve"> </w:t>
            </w:r>
          </w:p>
        </w:tc>
      </w:tr>
    </w:tbl>
    <w:p w14:paraId="0F7F50C6" w14:textId="5BCEDF84"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14</w:t>
      </w:r>
      <w:r w:rsidRPr="00AD4B4F">
        <w:rPr>
          <w:rFonts w:asciiTheme="minorHAnsi" w:hAnsiTheme="minorHAnsi"/>
        </w:rPr>
        <w:fldChar w:fldCharType="end"/>
      </w:r>
      <w:r w:rsidRPr="00AD4B4F">
        <w:rPr>
          <w:rFonts w:asciiTheme="minorHAnsi" w:hAnsiTheme="minorHAnsi"/>
        </w:rPr>
        <w:t xml:space="preserve"> – Total Labor Hours</w:t>
      </w:r>
    </w:p>
    <w:p w14:paraId="224A7181" w14:textId="77777777" w:rsidR="0023288C" w:rsidRPr="00AD4B4F" w:rsidRDefault="0023288C">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23288C" w:rsidRPr="00AD4B4F" w14:paraId="342352C9" w14:textId="77777777">
        <w:trPr>
          <w:cantSplit/>
        </w:trPr>
        <w:tc>
          <w:tcPr>
            <w:tcW w:w="5490" w:type="dxa"/>
          </w:tcPr>
          <w:p w14:paraId="1CF136D6" w14:textId="77777777" w:rsidR="0023288C" w:rsidRPr="00AD4B4F" w:rsidRDefault="00202916">
            <w:pPr>
              <w:keepNext/>
              <w:widowControl w:val="0"/>
              <w:tabs>
                <w:tab w:val="left" w:pos="2070"/>
              </w:tabs>
              <w:spacing w:after="0" w:line="240" w:lineRule="auto"/>
              <w:ind w:right="162"/>
              <w:jc w:val="center"/>
              <w:rPr>
                <w:b/>
              </w:rPr>
            </w:pPr>
            <w:r w:rsidRPr="00AD4B4F">
              <w:rPr>
                <w:b/>
              </w:rPr>
              <w:t>Qualitative Efforts - Number of Activities by Program</w:t>
            </w:r>
          </w:p>
        </w:tc>
        <w:tc>
          <w:tcPr>
            <w:tcW w:w="810" w:type="dxa"/>
          </w:tcPr>
          <w:p w14:paraId="6CD16277" w14:textId="77777777" w:rsidR="0023288C" w:rsidRPr="00AD4B4F" w:rsidRDefault="00202916">
            <w:pPr>
              <w:keepNext/>
              <w:widowControl w:val="0"/>
              <w:spacing w:after="0" w:line="240" w:lineRule="auto"/>
              <w:jc w:val="center"/>
              <w:rPr>
                <w:b/>
              </w:rPr>
            </w:pPr>
            <w:r w:rsidRPr="00AD4B4F">
              <w:rPr>
                <w:b/>
              </w:rPr>
              <w:t>CDBG</w:t>
            </w:r>
          </w:p>
        </w:tc>
        <w:tc>
          <w:tcPr>
            <w:tcW w:w="900" w:type="dxa"/>
          </w:tcPr>
          <w:p w14:paraId="37BB6E4F" w14:textId="77777777" w:rsidR="0023288C" w:rsidRPr="00AD4B4F" w:rsidRDefault="00202916">
            <w:pPr>
              <w:keepNext/>
              <w:widowControl w:val="0"/>
              <w:spacing w:after="0" w:line="240" w:lineRule="auto"/>
              <w:jc w:val="center"/>
              <w:rPr>
                <w:b/>
              </w:rPr>
            </w:pPr>
            <w:r w:rsidRPr="00AD4B4F">
              <w:rPr>
                <w:b/>
              </w:rPr>
              <w:t>HOME</w:t>
            </w:r>
          </w:p>
        </w:tc>
        <w:tc>
          <w:tcPr>
            <w:tcW w:w="720" w:type="dxa"/>
          </w:tcPr>
          <w:p w14:paraId="2C83A8F0" w14:textId="77777777" w:rsidR="0023288C" w:rsidRPr="00AD4B4F" w:rsidRDefault="00202916">
            <w:pPr>
              <w:keepNext/>
              <w:widowControl w:val="0"/>
              <w:spacing w:after="0" w:line="240" w:lineRule="auto"/>
              <w:rPr>
                <w:b/>
              </w:rPr>
            </w:pPr>
            <w:r w:rsidRPr="00AD4B4F">
              <w:rPr>
                <w:b/>
              </w:rPr>
              <w:t>ESG</w:t>
            </w:r>
          </w:p>
        </w:tc>
        <w:tc>
          <w:tcPr>
            <w:tcW w:w="990" w:type="dxa"/>
          </w:tcPr>
          <w:p w14:paraId="51F4C9AA" w14:textId="77777777" w:rsidR="0023288C" w:rsidRPr="00AD4B4F" w:rsidRDefault="00202916">
            <w:pPr>
              <w:keepNext/>
              <w:widowControl w:val="0"/>
              <w:spacing w:after="0" w:line="240" w:lineRule="auto"/>
              <w:jc w:val="center"/>
              <w:rPr>
                <w:b/>
              </w:rPr>
            </w:pPr>
            <w:r w:rsidRPr="00AD4B4F">
              <w:rPr>
                <w:b/>
              </w:rPr>
              <w:t>HOPWA</w:t>
            </w:r>
          </w:p>
        </w:tc>
        <w:tc>
          <w:tcPr>
            <w:tcW w:w="720" w:type="dxa"/>
          </w:tcPr>
          <w:p w14:paraId="36E96DBA" w14:textId="77777777" w:rsidR="0023288C" w:rsidRPr="00AD4B4F" w:rsidRDefault="00202916">
            <w:pPr>
              <w:keepNext/>
              <w:widowControl w:val="0"/>
              <w:spacing w:after="0" w:line="240" w:lineRule="auto"/>
              <w:jc w:val="center"/>
              <w:rPr>
                <w:b/>
              </w:rPr>
            </w:pPr>
            <w:r w:rsidRPr="00AD4B4F">
              <w:rPr>
                <w:b/>
              </w:rPr>
              <w:t>HTF</w:t>
            </w:r>
          </w:p>
        </w:tc>
      </w:tr>
      <w:tr w:rsidR="0023288C" w:rsidRPr="00AD4B4F" w14:paraId="0412B7A3" w14:textId="77777777">
        <w:trPr>
          <w:cantSplit/>
        </w:trPr>
        <w:tc>
          <w:tcPr>
            <w:tcW w:w="5490" w:type="dxa"/>
            <w:vAlign w:val="center"/>
          </w:tcPr>
          <w:p w14:paraId="4A2BB72B" w14:textId="77777777" w:rsidR="0023288C" w:rsidRPr="00AD4B4F" w:rsidRDefault="00202916">
            <w:pPr>
              <w:spacing w:beforeAutospacing="1" w:afterAutospacing="1"/>
            </w:pPr>
            <w:r w:rsidRPr="00AD4B4F">
              <w:rPr>
                <w:rFonts w:ascii="Arial" w:hAnsi="Arial"/>
                <w:color w:val="25396E"/>
                <w:sz w:val="16"/>
              </w:rPr>
              <w:t>Outreach efforts to generate job applicants who are Public Housing Targeted Workers</w:t>
            </w:r>
          </w:p>
        </w:tc>
        <w:tc>
          <w:tcPr>
            <w:tcW w:w="810" w:type="dxa"/>
            <w:vAlign w:val="center"/>
          </w:tcPr>
          <w:p w14:paraId="0A1ED7C6"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5C4870A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2170A44"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8F1AAB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A302545"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132FF124" w14:textId="77777777">
        <w:trPr>
          <w:cantSplit/>
        </w:trPr>
        <w:tc>
          <w:tcPr>
            <w:tcW w:w="5490" w:type="dxa"/>
            <w:vAlign w:val="center"/>
          </w:tcPr>
          <w:p w14:paraId="5D1BAD72" w14:textId="77777777" w:rsidR="0023288C" w:rsidRPr="00AD4B4F" w:rsidRDefault="00202916">
            <w:pPr>
              <w:spacing w:beforeAutospacing="1" w:afterAutospacing="1"/>
            </w:pPr>
            <w:r w:rsidRPr="00AD4B4F">
              <w:rPr>
                <w:rFonts w:ascii="Arial" w:hAnsi="Arial"/>
                <w:color w:val="25396E"/>
                <w:sz w:val="16"/>
              </w:rPr>
              <w:t>Outreach efforts to generate job applicants who are Other Funding Targeted Workers.</w:t>
            </w:r>
          </w:p>
        </w:tc>
        <w:tc>
          <w:tcPr>
            <w:tcW w:w="810" w:type="dxa"/>
            <w:vAlign w:val="center"/>
          </w:tcPr>
          <w:p w14:paraId="09D9E85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07B27FF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5E2CE1C"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490A03A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203B04B2"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7E061999" w14:textId="77777777">
        <w:trPr>
          <w:cantSplit/>
        </w:trPr>
        <w:tc>
          <w:tcPr>
            <w:tcW w:w="5490" w:type="dxa"/>
            <w:vAlign w:val="center"/>
          </w:tcPr>
          <w:p w14:paraId="3142A8B4" w14:textId="77777777" w:rsidR="0023288C" w:rsidRPr="00AD4B4F" w:rsidRDefault="00202916">
            <w:pPr>
              <w:spacing w:beforeAutospacing="1" w:afterAutospacing="1"/>
            </w:pPr>
            <w:r w:rsidRPr="00AD4B4F">
              <w:rPr>
                <w:rFonts w:ascii="Arial" w:hAnsi="Arial"/>
                <w:color w:val="25396E"/>
                <w:sz w:val="16"/>
              </w:rPr>
              <w:t>Direct, on-the job training (including apprenticeships).</w:t>
            </w:r>
          </w:p>
        </w:tc>
        <w:tc>
          <w:tcPr>
            <w:tcW w:w="810" w:type="dxa"/>
            <w:vAlign w:val="center"/>
          </w:tcPr>
          <w:p w14:paraId="654EC4D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19E1BEC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4608FE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077CEF21"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EEE7B89"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19B542CA" w14:textId="77777777">
        <w:trPr>
          <w:cantSplit/>
        </w:trPr>
        <w:tc>
          <w:tcPr>
            <w:tcW w:w="5490" w:type="dxa"/>
            <w:vAlign w:val="center"/>
          </w:tcPr>
          <w:p w14:paraId="4B10F2D3" w14:textId="77777777" w:rsidR="0023288C" w:rsidRPr="00AD4B4F" w:rsidRDefault="00202916">
            <w:pPr>
              <w:spacing w:beforeAutospacing="1" w:afterAutospacing="1"/>
            </w:pPr>
            <w:r w:rsidRPr="00AD4B4F">
              <w:rPr>
                <w:rFonts w:ascii="Arial" w:hAnsi="Arial"/>
                <w:color w:val="25396E"/>
                <w:sz w:val="16"/>
              </w:rPr>
              <w:t>Indirect training such as arranging for, contracting for, or paying tuition for, off-site training.</w:t>
            </w:r>
          </w:p>
        </w:tc>
        <w:tc>
          <w:tcPr>
            <w:tcW w:w="810" w:type="dxa"/>
            <w:vAlign w:val="center"/>
          </w:tcPr>
          <w:p w14:paraId="6440666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15A4C6B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D686A1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59BBE29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17F128C1"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46BE38E1" w14:textId="77777777">
        <w:trPr>
          <w:cantSplit/>
        </w:trPr>
        <w:tc>
          <w:tcPr>
            <w:tcW w:w="5490" w:type="dxa"/>
            <w:vAlign w:val="center"/>
          </w:tcPr>
          <w:p w14:paraId="59D00E95" w14:textId="77777777" w:rsidR="0023288C" w:rsidRPr="00AD4B4F" w:rsidRDefault="00202916">
            <w:pPr>
              <w:spacing w:beforeAutospacing="1" w:afterAutospacing="1"/>
            </w:pPr>
            <w:r w:rsidRPr="00AD4B4F">
              <w:rPr>
                <w:rFonts w:ascii="Arial" w:hAnsi="Arial"/>
                <w:color w:val="25396E"/>
                <w:sz w:val="16"/>
              </w:rPr>
              <w:t>Technical assistance to help Section 3 workers compete for jobs (e.g., resume assistance, coaching).</w:t>
            </w:r>
          </w:p>
        </w:tc>
        <w:tc>
          <w:tcPr>
            <w:tcW w:w="810" w:type="dxa"/>
            <w:vAlign w:val="center"/>
          </w:tcPr>
          <w:p w14:paraId="1DCC43B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404FB32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4C98C4EC"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1BC75ED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4A8E0E0F"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5EF85AA2" w14:textId="77777777">
        <w:trPr>
          <w:cantSplit/>
        </w:trPr>
        <w:tc>
          <w:tcPr>
            <w:tcW w:w="5490" w:type="dxa"/>
            <w:vAlign w:val="center"/>
          </w:tcPr>
          <w:p w14:paraId="0A98EB01" w14:textId="77777777" w:rsidR="0023288C" w:rsidRPr="00AD4B4F" w:rsidRDefault="00202916">
            <w:pPr>
              <w:spacing w:beforeAutospacing="1" w:afterAutospacing="1"/>
            </w:pPr>
            <w:r w:rsidRPr="00AD4B4F">
              <w:rPr>
                <w:rFonts w:ascii="Arial" w:hAnsi="Arial"/>
                <w:color w:val="25396E"/>
                <w:sz w:val="16"/>
              </w:rPr>
              <w:t>Outreach efforts to identify and secure bids from Section 3 business concerns.</w:t>
            </w:r>
          </w:p>
        </w:tc>
        <w:tc>
          <w:tcPr>
            <w:tcW w:w="810" w:type="dxa"/>
            <w:vAlign w:val="center"/>
          </w:tcPr>
          <w:p w14:paraId="277C41F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64FC11F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354B5F58"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795888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2EA3DA3E"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7AC1F951" w14:textId="77777777">
        <w:trPr>
          <w:cantSplit/>
        </w:trPr>
        <w:tc>
          <w:tcPr>
            <w:tcW w:w="5490" w:type="dxa"/>
            <w:vAlign w:val="center"/>
          </w:tcPr>
          <w:p w14:paraId="78B9D815" w14:textId="77777777" w:rsidR="0023288C" w:rsidRPr="00AD4B4F" w:rsidRDefault="00202916">
            <w:pPr>
              <w:spacing w:beforeAutospacing="1" w:afterAutospacing="1"/>
            </w:pPr>
            <w:r w:rsidRPr="00AD4B4F">
              <w:rPr>
                <w:rFonts w:ascii="Arial" w:hAnsi="Arial"/>
                <w:color w:val="25396E"/>
                <w:sz w:val="16"/>
              </w:rPr>
              <w:t>Technical assistance to help Section 3 business concerns understand and bid on contracts.</w:t>
            </w:r>
          </w:p>
        </w:tc>
        <w:tc>
          <w:tcPr>
            <w:tcW w:w="810" w:type="dxa"/>
            <w:vAlign w:val="center"/>
          </w:tcPr>
          <w:p w14:paraId="0CA398A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7B246F1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3FC7EF66"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7437EEB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20CD3048"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5C2B46C0" w14:textId="77777777">
        <w:trPr>
          <w:cantSplit/>
        </w:trPr>
        <w:tc>
          <w:tcPr>
            <w:tcW w:w="5490" w:type="dxa"/>
            <w:vAlign w:val="center"/>
          </w:tcPr>
          <w:p w14:paraId="7E869D58" w14:textId="77777777" w:rsidR="0023288C" w:rsidRPr="00AD4B4F" w:rsidRDefault="00202916">
            <w:pPr>
              <w:spacing w:beforeAutospacing="1" w:afterAutospacing="1"/>
            </w:pPr>
            <w:r w:rsidRPr="00AD4B4F">
              <w:rPr>
                <w:rFonts w:ascii="Arial" w:hAnsi="Arial"/>
                <w:color w:val="25396E"/>
                <w:sz w:val="16"/>
              </w:rPr>
              <w:t>Division of contracts into smaller jobs to facilitate participation by Section 3 business concerns.</w:t>
            </w:r>
          </w:p>
        </w:tc>
        <w:tc>
          <w:tcPr>
            <w:tcW w:w="810" w:type="dxa"/>
            <w:vAlign w:val="center"/>
          </w:tcPr>
          <w:p w14:paraId="0D4F422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34AA0F3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B166F2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6B3BBA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833F42D"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553559D3" w14:textId="77777777">
        <w:trPr>
          <w:cantSplit/>
        </w:trPr>
        <w:tc>
          <w:tcPr>
            <w:tcW w:w="5490" w:type="dxa"/>
            <w:vAlign w:val="center"/>
          </w:tcPr>
          <w:p w14:paraId="03461CE1" w14:textId="77777777" w:rsidR="0023288C" w:rsidRPr="00AD4B4F" w:rsidRDefault="00202916">
            <w:pPr>
              <w:spacing w:beforeAutospacing="1" w:afterAutospacing="1"/>
            </w:pPr>
            <w:r w:rsidRPr="00AD4B4F">
              <w:rPr>
                <w:rFonts w:ascii="Arial" w:hAnsi="Arial"/>
                <w:color w:val="25396E"/>
                <w:sz w:val="16"/>
              </w:rPr>
              <w:t>Provided or connected residents with assistance in seeking employment including: drafting resumes,preparing for interviews, finding job opportunities, connecting residents to job placement services.</w:t>
            </w:r>
          </w:p>
        </w:tc>
        <w:tc>
          <w:tcPr>
            <w:tcW w:w="810" w:type="dxa"/>
            <w:vAlign w:val="center"/>
          </w:tcPr>
          <w:p w14:paraId="33CE912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16A31522"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96E77EC"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6DFB3F8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AC1BB25"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0E0AD6A5" w14:textId="77777777">
        <w:trPr>
          <w:cantSplit/>
        </w:trPr>
        <w:tc>
          <w:tcPr>
            <w:tcW w:w="5490" w:type="dxa"/>
            <w:vAlign w:val="center"/>
          </w:tcPr>
          <w:p w14:paraId="7AC3D641" w14:textId="77777777" w:rsidR="0023288C" w:rsidRPr="00AD4B4F" w:rsidRDefault="00202916">
            <w:pPr>
              <w:spacing w:beforeAutospacing="1" w:afterAutospacing="1"/>
            </w:pPr>
            <w:r w:rsidRPr="00AD4B4F">
              <w:rPr>
                <w:rFonts w:ascii="Arial" w:hAnsi="Arial"/>
                <w:color w:val="25396E"/>
                <w:sz w:val="16"/>
              </w:rPr>
              <w:t>Held one or more job fairs.</w:t>
            </w:r>
          </w:p>
        </w:tc>
        <w:tc>
          <w:tcPr>
            <w:tcW w:w="810" w:type="dxa"/>
            <w:vAlign w:val="center"/>
          </w:tcPr>
          <w:p w14:paraId="45FF7D5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7577501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D4836A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56659CC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133C5EBB"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131BE005" w14:textId="77777777">
        <w:trPr>
          <w:cantSplit/>
        </w:trPr>
        <w:tc>
          <w:tcPr>
            <w:tcW w:w="5490" w:type="dxa"/>
            <w:vAlign w:val="center"/>
          </w:tcPr>
          <w:p w14:paraId="50D93FF2" w14:textId="77777777" w:rsidR="0023288C" w:rsidRPr="00AD4B4F" w:rsidRDefault="00202916">
            <w:pPr>
              <w:spacing w:beforeAutospacing="1" w:afterAutospacing="1"/>
            </w:pPr>
            <w:r w:rsidRPr="00AD4B4F">
              <w:rPr>
                <w:rFonts w:ascii="Arial" w:hAnsi="Arial"/>
                <w:color w:val="25396E"/>
                <w:sz w:val="16"/>
              </w:rPr>
              <w:t>Provided or connected residents with supportive services that can provide direct services or referrals.</w:t>
            </w:r>
          </w:p>
        </w:tc>
        <w:tc>
          <w:tcPr>
            <w:tcW w:w="810" w:type="dxa"/>
            <w:vAlign w:val="center"/>
          </w:tcPr>
          <w:p w14:paraId="3977161C"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2897F8E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935843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451F5128"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5D79576D"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1852E286" w14:textId="77777777">
        <w:trPr>
          <w:cantSplit/>
        </w:trPr>
        <w:tc>
          <w:tcPr>
            <w:tcW w:w="5490" w:type="dxa"/>
            <w:vAlign w:val="center"/>
          </w:tcPr>
          <w:p w14:paraId="2F6DD71D" w14:textId="77777777" w:rsidR="0023288C" w:rsidRPr="00AD4B4F" w:rsidRDefault="00202916">
            <w:pPr>
              <w:spacing w:beforeAutospacing="1" w:afterAutospacing="1"/>
            </w:pPr>
            <w:r w:rsidRPr="00AD4B4F">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23E24F5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3C09EA2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369EE6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71EBE3B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18CF9AC"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00398412" w14:textId="77777777">
        <w:trPr>
          <w:cantSplit/>
        </w:trPr>
        <w:tc>
          <w:tcPr>
            <w:tcW w:w="5490" w:type="dxa"/>
            <w:vAlign w:val="center"/>
          </w:tcPr>
          <w:p w14:paraId="3EC8FA82" w14:textId="77777777" w:rsidR="0023288C" w:rsidRPr="00AD4B4F" w:rsidRDefault="00202916">
            <w:pPr>
              <w:spacing w:beforeAutospacing="1" w:afterAutospacing="1"/>
            </w:pPr>
            <w:r w:rsidRPr="00AD4B4F">
              <w:rPr>
                <w:rFonts w:ascii="Arial" w:hAnsi="Arial"/>
                <w:color w:val="25396E"/>
                <w:sz w:val="16"/>
              </w:rPr>
              <w:t>Assisted residents with finding child care.</w:t>
            </w:r>
          </w:p>
        </w:tc>
        <w:tc>
          <w:tcPr>
            <w:tcW w:w="810" w:type="dxa"/>
            <w:vAlign w:val="center"/>
          </w:tcPr>
          <w:p w14:paraId="3F3F2BAD"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757B50E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16DCA66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9E9C06D"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787CFBF"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61A0AC3A" w14:textId="77777777">
        <w:trPr>
          <w:cantSplit/>
        </w:trPr>
        <w:tc>
          <w:tcPr>
            <w:tcW w:w="5490" w:type="dxa"/>
            <w:vAlign w:val="center"/>
          </w:tcPr>
          <w:p w14:paraId="398C4410" w14:textId="77777777" w:rsidR="0023288C" w:rsidRPr="00AD4B4F" w:rsidRDefault="00202916">
            <w:pPr>
              <w:spacing w:beforeAutospacing="1" w:afterAutospacing="1"/>
            </w:pPr>
            <w:r w:rsidRPr="00AD4B4F">
              <w:rPr>
                <w:rFonts w:ascii="Arial" w:hAnsi="Arial"/>
                <w:color w:val="25396E"/>
                <w:sz w:val="16"/>
              </w:rPr>
              <w:t>Assisted residents to apply for, or attend community college or a four year educational institution.</w:t>
            </w:r>
          </w:p>
        </w:tc>
        <w:tc>
          <w:tcPr>
            <w:tcW w:w="810" w:type="dxa"/>
            <w:vAlign w:val="center"/>
          </w:tcPr>
          <w:p w14:paraId="551BE30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29E10A7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395A397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555A53D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54FCE0E"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266FC50A" w14:textId="77777777">
        <w:trPr>
          <w:cantSplit/>
        </w:trPr>
        <w:tc>
          <w:tcPr>
            <w:tcW w:w="5490" w:type="dxa"/>
            <w:vAlign w:val="center"/>
          </w:tcPr>
          <w:p w14:paraId="6BFC0F4D" w14:textId="77777777" w:rsidR="0023288C" w:rsidRPr="00AD4B4F" w:rsidRDefault="00202916">
            <w:pPr>
              <w:spacing w:beforeAutospacing="1" w:afterAutospacing="1"/>
            </w:pPr>
            <w:r w:rsidRPr="00AD4B4F">
              <w:rPr>
                <w:rFonts w:ascii="Arial" w:hAnsi="Arial"/>
                <w:color w:val="25396E"/>
                <w:sz w:val="16"/>
              </w:rPr>
              <w:t>Assisted residents to apply for, or attend vocational/technical training.</w:t>
            </w:r>
          </w:p>
        </w:tc>
        <w:tc>
          <w:tcPr>
            <w:tcW w:w="810" w:type="dxa"/>
            <w:vAlign w:val="center"/>
          </w:tcPr>
          <w:p w14:paraId="3FE3DBD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237552B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6F33C9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1C68BF08"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9755CA3"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18220D42" w14:textId="77777777">
        <w:trPr>
          <w:cantSplit/>
        </w:trPr>
        <w:tc>
          <w:tcPr>
            <w:tcW w:w="5490" w:type="dxa"/>
            <w:vAlign w:val="center"/>
          </w:tcPr>
          <w:p w14:paraId="28E6D2CC" w14:textId="77777777" w:rsidR="0023288C" w:rsidRPr="00AD4B4F" w:rsidRDefault="00202916">
            <w:pPr>
              <w:spacing w:beforeAutospacing="1" w:afterAutospacing="1"/>
            </w:pPr>
            <w:r w:rsidRPr="00AD4B4F">
              <w:rPr>
                <w:rFonts w:ascii="Arial" w:hAnsi="Arial"/>
                <w:color w:val="25396E"/>
                <w:sz w:val="16"/>
              </w:rPr>
              <w:t>Assisted residents to obtain financial literacy training and/or coaching.</w:t>
            </w:r>
          </w:p>
        </w:tc>
        <w:tc>
          <w:tcPr>
            <w:tcW w:w="810" w:type="dxa"/>
            <w:vAlign w:val="center"/>
          </w:tcPr>
          <w:p w14:paraId="3A319E7F"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1C9A456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56657E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24691E2"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08574C98"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49A6B311" w14:textId="77777777">
        <w:trPr>
          <w:cantSplit/>
        </w:trPr>
        <w:tc>
          <w:tcPr>
            <w:tcW w:w="5490" w:type="dxa"/>
            <w:vAlign w:val="center"/>
          </w:tcPr>
          <w:p w14:paraId="6D634CA1" w14:textId="77777777" w:rsidR="0023288C" w:rsidRPr="00AD4B4F" w:rsidRDefault="00202916">
            <w:pPr>
              <w:spacing w:beforeAutospacing="1" w:afterAutospacing="1"/>
            </w:pPr>
            <w:r w:rsidRPr="00AD4B4F">
              <w:rPr>
                <w:rFonts w:ascii="Arial" w:hAnsi="Arial"/>
                <w:color w:val="25396E"/>
                <w:sz w:val="16"/>
              </w:rPr>
              <w:t>Bonding assistance, guaranties, or other efforts to support viable bids from Section 3 business concerns.</w:t>
            </w:r>
          </w:p>
        </w:tc>
        <w:tc>
          <w:tcPr>
            <w:tcW w:w="810" w:type="dxa"/>
            <w:vAlign w:val="center"/>
          </w:tcPr>
          <w:p w14:paraId="157FAA6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5DB9439A"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27635366"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28832B7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4B279C5F"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211FD838" w14:textId="77777777">
        <w:trPr>
          <w:cantSplit/>
        </w:trPr>
        <w:tc>
          <w:tcPr>
            <w:tcW w:w="5490" w:type="dxa"/>
            <w:vAlign w:val="center"/>
          </w:tcPr>
          <w:p w14:paraId="1B3062C1" w14:textId="77777777" w:rsidR="0023288C" w:rsidRPr="00AD4B4F" w:rsidRDefault="00202916">
            <w:pPr>
              <w:spacing w:beforeAutospacing="1" w:afterAutospacing="1"/>
            </w:pPr>
            <w:r w:rsidRPr="00AD4B4F">
              <w:rPr>
                <w:rFonts w:ascii="Arial" w:hAnsi="Arial"/>
                <w:color w:val="25396E"/>
                <w:sz w:val="16"/>
              </w:rPr>
              <w:t>Provided or connected residents with training on computer use or online technologies.</w:t>
            </w:r>
          </w:p>
        </w:tc>
        <w:tc>
          <w:tcPr>
            <w:tcW w:w="810" w:type="dxa"/>
            <w:vAlign w:val="center"/>
          </w:tcPr>
          <w:p w14:paraId="2A4935D8"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55A36DFE"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9BF90E5"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4526A96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773E03AC"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7DA7DDC3" w14:textId="77777777">
        <w:trPr>
          <w:cantSplit/>
        </w:trPr>
        <w:tc>
          <w:tcPr>
            <w:tcW w:w="5490" w:type="dxa"/>
            <w:vAlign w:val="center"/>
          </w:tcPr>
          <w:p w14:paraId="5DB6A433" w14:textId="77777777" w:rsidR="0023288C" w:rsidRPr="00AD4B4F" w:rsidRDefault="00202916">
            <w:pPr>
              <w:spacing w:beforeAutospacing="1" w:afterAutospacing="1"/>
            </w:pPr>
            <w:r w:rsidRPr="00AD4B4F">
              <w:rPr>
                <w:rFonts w:ascii="Arial" w:hAnsi="Arial"/>
                <w:color w:val="25396E"/>
                <w:sz w:val="16"/>
              </w:rPr>
              <w:t>Promoting the use of a business registry designed to create opportunities for disadvantaged and small businesses.</w:t>
            </w:r>
          </w:p>
        </w:tc>
        <w:tc>
          <w:tcPr>
            <w:tcW w:w="810" w:type="dxa"/>
            <w:vAlign w:val="center"/>
          </w:tcPr>
          <w:p w14:paraId="42C619C9"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44D80504"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2E4551D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34620B8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306068F9"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77B56CB5" w14:textId="77777777">
        <w:trPr>
          <w:cantSplit/>
        </w:trPr>
        <w:tc>
          <w:tcPr>
            <w:tcW w:w="5490" w:type="dxa"/>
            <w:vAlign w:val="center"/>
          </w:tcPr>
          <w:p w14:paraId="2BF382B8" w14:textId="77777777" w:rsidR="0023288C" w:rsidRPr="00AD4B4F" w:rsidRDefault="00202916">
            <w:pPr>
              <w:spacing w:beforeAutospacing="1" w:afterAutospacing="1"/>
            </w:pPr>
            <w:r w:rsidRPr="00AD4B4F">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37EA9081"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3CB67F87"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40472FA4"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05FB7901"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1B5DC759" w14:textId="77777777" w:rsidR="0023288C" w:rsidRPr="00AD4B4F" w:rsidRDefault="00202916">
            <w:pPr>
              <w:spacing w:beforeAutospacing="1" w:afterAutospacing="1"/>
              <w:jc w:val="right"/>
            </w:pPr>
            <w:r w:rsidRPr="00AD4B4F">
              <w:rPr>
                <w:rFonts w:ascii="Arial" w:hAnsi="Arial"/>
                <w:color w:val="000000"/>
                <w:sz w:val="16"/>
              </w:rPr>
              <w:t xml:space="preserve"> </w:t>
            </w:r>
          </w:p>
        </w:tc>
      </w:tr>
      <w:tr w:rsidR="0023288C" w:rsidRPr="00AD4B4F" w14:paraId="006AC0C4" w14:textId="77777777">
        <w:trPr>
          <w:cantSplit/>
        </w:trPr>
        <w:tc>
          <w:tcPr>
            <w:tcW w:w="5490" w:type="dxa"/>
            <w:vAlign w:val="center"/>
          </w:tcPr>
          <w:p w14:paraId="0618519F" w14:textId="77777777" w:rsidR="0023288C" w:rsidRPr="00AD4B4F" w:rsidRDefault="00202916">
            <w:pPr>
              <w:spacing w:beforeAutospacing="1" w:afterAutospacing="1"/>
            </w:pPr>
            <w:r w:rsidRPr="00AD4B4F">
              <w:rPr>
                <w:rFonts w:ascii="Arial" w:hAnsi="Arial"/>
                <w:color w:val="25396E"/>
                <w:sz w:val="16"/>
              </w:rPr>
              <w:lastRenderedPageBreak/>
              <w:t>Other.</w:t>
            </w:r>
          </w:p>
        </w:tc>
        <w:tc>
          <w:tcPr>
            <w:tcW w:w="810" w:type="dxa"/>
            <w:vAlign w:val="center"/>
          </w:tcPr>
          <w:p w14:paraId="6DFFE998"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00" w:type="dxa"/>
            <w:vAlign w:val="center"/>
          </w:tcPr>
          <w:p w14:paraId="0DB16C33"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6A909D4B"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990" w:type="dxa"/>
            <w:vAlign w:val="center"/>
          </w:tcPr>
          <w:p w14:paraId="48EF2C00" w14:textId="77777777" w:rsidR="0023288C" w:rsidRPr="00AD4B4F" w:rsidRDefault="00202916">
            <w:pPr>
              <w:spacing w:beforeAutospacing="1" w:afterAutospacing="1"/>
              <w:jc w:val="right"/>
            </w:pPr>
            <w:r w:rsidRPr="00AD4B4F">
              <w:rPr>
                <w:rFonts w:ascii="Arial" w:hAnsi="Arial"/>
                <w:color w:val="000000"/>
                <w:sz w:val="16"/>
              </w:rPr>
              <w:t xml:space="preserve"> </w:t>
            </w:r>
          </w:p>
        </w:tc>
        <w:tc>
          <w:tcPr>
            <w:tcW w:w="720" w:type="dxa"/>
            <w:vAlign w:val="center"/>
          </w:tcPr>
          <w:p w14:paraId="1A77C91B" w14:textId="77777777" w:rsidR="0023288C" w:rsidRPr="00AD4B4F" w:rsidRDefault="00202916">
            <w:pPr>
              <w:spacing w:beforeAutospacing="1" w:afterAutospacing="1"/>
              <w:jc w:val="right"/>
            </w:pPr>
            <w:r w:rsidRPr="00AD4B4F">
              <w:rPr>
                <w:rFonts w:ascii="Arial" w:hAnsi="Arial"/>
                <w:color w:val="000000"/>
                <w:sz w:val="16"/>
              </w:rPr>
              <w:t xml:space="preserve"> </w:t>
            </w:r>
          </w:p>
        </w:tc>
      </w:tr>
    </w:tbl>
    <w:p w14:paraId="1A71DC46" w14:textId="725905E7" w:rsidR="0023288C" w:rsidRPr="00AD4B4F" w:rsidRDefault="00202916">
      <w:pPr>
        <w:pStyle w:val="Caption"/>
        <w:jc w:val="center"/>
        <w:rPr>
          <w:rFonts w:asciiTheme="minorHAnsi" w:hAnsiTheme="minorHAnsi"/>
        </w:rPr>
      </w:pPr>
      <w:r w:rsidRPr="00AD4B4F">
        <w:rPr>
          <w:rFonts w:asciiTheme="minorHAnsi" w:hAnsiTheme="minorHAnsi"/>
        </w:rPr>
        <w:t xml:space="preserve">Table </w:t>
      </w:r>
      <w:r w:rsidRPr="00AD4B4F">
        <w:rPr>
          <w:rFonts w:asciiTheme="minorHAnsi" w:hAnsiTheme="minorHAnsi"/>
        </w:rPr>
        <w:fldChar w:fldCharType="begin"/>
      </w:r>
      <w:r w:rsidRPr="00AD4B4F">
        <w:rPr>
          <w:rFonts w:asciiTheme="minorHAnsi" w:hAnsiTheme="minorHAnsi"/>
        </w:rPr>
        <w:instrText xml:space="preserve"> SEQ Table \* ARABIC </w:instrText>
      </w:r>
      <w:r w:rsidRPr="00AD4B4F">
        <w:rPr>
          <w:rFonts w:asciiTheme="minorHAnsi" w:hAnsiTheme="minorHAnsi"/>
        </w:rPr>
        <w:fldChar w:fldCharType="separate"/>
      </w:r>
      <w:r w:rsidR="00292BBA" w:rsidRPr="00AD4B4F">
        <w:rPr>
          <w:rFonts w:asciiTheme="minorHAnsi" w:hAnsiTheme="minorHAnsi"/>
          <w:noProof/>
        </w:rPr>
        <w:t>15</w:t>
      </w:r>
      <w:r w:rsidRPr="00AD4B4F">
        <w:rPr>
          <w:rFonts w:asciiTheme="minorHAnsi" w:hAnsiTheme="minorHAnsi"/>
        </w:rPr>
        <w:fldChar w:fldCharType="end"/>
      </w:r>
      <w:r w:rsidRPr="00AD4B4F">
        <w:rPr>
          <w:rFonts w:asciiTheme="minorHAnsi" w:hAnsiTheme="minorHAnsi"/>
        </w:rPr>
        <w:t xml:space="preserve"> – Qualitative Efforts - Number of Activities by Program</w:t>
      </w:r>
    </w:p>
    <w:p w14:paraId="1D1C1E55" w14:textId="77777777" w:rsidR="0023288C" w:rsidRPr="00AD4B4F" w:rsidRDefault="0023288C">
      <w:pPr>
        <w:widowControl w:val="0"/>
        <w:rPr>
          <w:b/>
          <w:sz w:val="24"/>
          <w:szCs w:val="24"/>
        </w:rPr>
      </w:pPr>
    </w:p>
    <w:p w14:paraId="5AC46AFF" w14:textId="77777777" w:rsidR="0023288C" w:rsidRDefault="00202916">
      <w:pPr>
        <w:widowControl w:val="0"/>
        <w:rPr>
          <w:b/>
          <w:sz w:val="24"/>
          <w:szCs w:val="24"/>
        </w:rPr>
      </w:pPr>
      <w:r w:rsidRPr="00AD4B4F">
        <w:rPr>
          <w:b/>
          <w:sz w:val="24"/>
          <w:szCs w:val="24"/>
        </w:rPr>
        <w:t>Narrative</w:t>
      </w:r>
    </w:p>
    <w:p w14:paraId="3C499F1A" w14:textId="35789DD7" w:rsidR="0023288C" w:rsidRDefault="00704326">
      <w:r>
        <w:t>No activities completed in 2022 were subject to Section 3 requirements.</w:t>
      </w:r>
    </w:p>
    <w:sectPr w:rsidR="0023288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2FE4" w14:textId="77777777" w:rsidR="0023288C" w:rsidRDefault="00202916">
      <w:r>
        <w:separator/>
      </w:r>
    </w:p>
  </w:endnote>
  <w:endnote w:type="continuationSeparator" w:id="0">
    <w:p w14:paraId="3814A040" w14:textId="77777777" w:rsidR="0023288C" w:rsidRDefault="002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30510F" w14:paraId="791AA514" w14:textId="77777777">
      <w:trPr>
        <w:jc w:val="center"/>
      </w:trPr>
      <w:tc>
        <w:tcPr>
          <w:tcW w:w="828" w:type="dxa"/>
        </w:tcPr>
        <w:p w14:paraId="7D6E4657" w14:textId="77777777" w:rsidR="0030510F" w:rsidRDefault="0030510F">
          <w:pPr>
            <w:pStyle w:val="Footer"/>
            <w:spacing w:after="0" w:line="240" w:lineRule="auto"/>
            <w:jc w:val="center"/>
          </w:pPr>
        </w:p>
      </w:tc>
      <w:tc>
        <w:tcPr>
          <w:tcW w:w="7976" w:type="dxa"/>
        </w:tcPr>
        <w:p w14:paraId="0A8D6FB8" w14:textId="77777777" w:rsidR="0030510F" w:rsidRDefault="0030510F">
          <w:pPr>
            <w:pStyle w:val="Footer"/>
            <w:spacing w:after="0" w:line="240" w:lineRule="auto"/>
            <w:jc w:val="center"/>
          </w:pPr>
          <w:r>
            <w:t>CAPER</w:t>
          </w:r>
        </w:p>
      </w:tc>
      <w:tc>
        <w:tcPr>
          <w:tcW w:w="772" w:type="dxa"/>
        </w:tcPr>
        <w:p w14:paraId="6F039FE9" w14:textId="77777777" w:rsidR="0030510F" w:rsidRDefault="0030510F">
          <w:pPr>
            <w:pStyle w:val="Footer"/>
            <w:spacing w:after="0" w:line="240" w:lineRule="auto"/>
            <w:jc w:val="right"/>
          </w:pPr>
          <w:r>
            <w:fldChar w:fldCharType="begin"/>
          </w:r>
          <w:r>
            <w:instrText>page</w:instrText>
          </w:r>
          <w:r>
            <w:fldChar w:fldCharType="separate"/>
          </w:r>
          <w:r>
            <w:t>30</w:t>
          </w:r>
          <w:r>
            <w:fldChar w:fldCharType="end"/>
          </w:r>
        </w:p>
      </w:tc>
    </w:tr>
  </w:tbl>
  <w:p w14:paraId="0E3BDECA" w14:textId="77777777" w:rsidR="0030510F" w:rsidRDefault="0030510F">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23288C" w14:paraId="334516EE" w14:textId="77777777">
      <w:trPr>
        <w:jc w:val="center"/>
      </w:trPr>
      <w:tc>
        <w:tcPr>
          <w:tcW w:w="828" w:type="dxa"/>
        </w:tcPr>
        <w:p w14:paraId="66D3AD9B" w14:textId="77777777" w:rsidR="0023288C" w:rsidRDefault="0023288C">
          <w:pPr>
            <w:pStyle w:val="Footer"/>
            <w:spacing w:after="0" w:line="240" w:lineRule="auto"/>
            <w:jc w:val="center"/>
          </w:pPr>
        </w:p>
      </w:tc>
      <w:tc>
        <w:tcPr>
          <w:tcW w:w="7976" w:type="dxa"/>
        </w:tcPr>
        <w:p w14:paraId="61B80918" w14:textId="77777777" w:rsidR="0023288C" w:rsidRDefault="00202916">
          <w:pPr>
            <w:pStyle w:val="Footer"/>
            <w:spacing w:after="0" w:line="240" w:lineRule="auto"/>
            <w:jc w:val="center"/>
          </w:pPr>
          <w:r>
            <w:t>CAPER</w:t>
          </w:r>
        </w:p>
      </w:tc>
      <w:tc>
        <w:tcPr>
          <w:tcW w:w="772" w:type="dxa"/>
        </w:tcPr>
        <w:p w14:paraId="6C41CC3C" w14:textId="77777777" w:rsidR="0023288C" w:rsidRDefault="00202916">
          <w:pPr>
            <w:pStyle w:val="Footer"/>
            <w:spacing w:after="0" w:line="240" w:lineRule="auto"/>
            <w:jc w:val="right"/>
          </w:pPr>
          <w:r>
            <w:fldChar w:fldCharType="begin"/>
          </w:r>
          <w:r>
            <w:instrText>page</w:instrText>
          </w:r>
          <w:r>
            <w:fldChar w:fldCharType="separate"/>
          </w:r>
          <w:r>
            <w:t>30</w:t>
          </w:r>
          <w:r>
            <w:fldChar w:fldCharType="end"/>
          </w:r>
        </w:p>
      </w:tc>
    </w:tr>
  </w:tbl>
  <w:p w14:paraId="7C8D691F" w14:textId="77777777" w:rsidR="0023288C" w:rsidRDefault="00202916">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7E29" w14:textId="77777777" w:rsidR="0023288C" w:rsidRDefault="00202916">
      <w:r>
        <w:separator/>
      </w:r>
    </w:p>
  </w:footnote>
  <w:footnote w:type="continuationSeparator" w:id="0">
    <w:p w14:paraId="2531FD48" w14:textId="77777777" w:rsidR="0023288C" w:rsidRDefault="0020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7D761A"/>
    <w:multiLevelType w:val="hybridMultilevel"/>
    <w:tmpl w:val="0AB89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07768"/>
    <w:multiLevelType w:val="hybridMultilevel"/>
    <w:tmpl w:val="4A1EA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312756215">
    <w:abstractNumId w:val="11"/>
  </w:num>
  <w:num w:numId="2" w16cid:durableId="1391029737">
    <w:abstractNumId w:val="9"/>
  </w:num>
  <w:num w:numId="3" w16cid:durableId="387732351">
    <w:abstractNumId w:val="7"/>
  </w:num>
  <w:num w:numId="4" w16cid:durableId="461122739">
    <w:abstractNumId w:val="6"/>
  </w:num>
  <w:num w:numId="5" w16cid:durableId="1743940171">
    <w:abstractNumId w:val="5"/>
  </w:num>
  <w:num w:numId="6" w16cid:durableId="2059937301">
    <w:abstractNumId w:val="4"/>
  </w:num>
  <w:num w:numId="7" w16cid:durableId="147595321">
    <w:abstractNumId w:val="8"/>
  </w:num>
  <w:num w:numId="8" w16cid:durableId="133525822">
    <w:abstractNumId w:val="3"/>
  </w:num>
  <w:num w:numId="9" w16cid:durableId="15736292">
    <w:abstractNumId w:val="2"/>
  </w:num>
  <w:num w:numId="10" w16cid:durableId="804352781">
    <w:abstractNumId w:val="1"/>
  </w:num>
  <w:num w:numId="11" w16cid:durableId="805048741">
    <w:abstractNumId w:val="0"/>
  </w:num>
  <w:num w:numId="12" w16cid:durableId="1521622229">
    <w:abstractNumId w:val="10"/>
  </w:num>
  <w:num w:numId="13" w16cid:durableId="2007052834">
    <w:abstractNumId w:val="17"/>
  </w:num>
  <w:num w:numId="14" w16cid:durableId="659700663">
    <w:abstractNumId w:val="15"/>
  </w:num>
  <w:num w:numId="15" w16cid:durableId="1395854101">
    <w:abstractNumId w:val="14"/>
  </w:num>
  <w:num w:numId="16" w16cid:durableId="285159473">
    <w:abstractNumId w:val="16"/>
  </w:num>
  <w:num w:numId="17" w16cid:durableId="1925337156">
    <w:abstractNumId w:val="13"/>
  </w:num>
  <w:num w:numId="18" w16cid:durableId="20533358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296"/>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3F4A"/>
    <w:rsid w:val="00014154"/>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6B"/>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1A77"/>
    <w:rsid w:val="00052543"/>
    <w:rsid w:val="0005399B"/>
    <w:rsid w:val="00053B06"/>
    <w:rsid w:val="00053D85"/>
    <w:rsid w:val="00053E62"/>
    <w:rsid w:val="00054780"/>
    <w:rsid w:val="000549C7"/>
    <w:rsid w:val="00054D96"/>
    <w:rsid w:val="00056828"/>
    <w:rsid w:val="00057E29"/>
    <w:rsid w:val="00060CE4"/>
    <w:rsid w:val="000611AA"/>
    <w:rsid w:val="00061845"/>
    <w:rsid w:val="00061B37"/>
    <w:rsid w:val="00061CCC"/>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3D3"/>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4"/>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3E6"/>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6886"/>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6B5"/>
    <w:rsid w:val="001A4F93"/>
    <w:rsid w:val="001A6644"/>
    <w:rsid w:val="001A6F81"/>
    <w:rsid w:val="001A7613"/>
    <w:rsid w:val="001A7F28"/>
    <w:rsid w:val="001B0BA7"/>
    <w:rsid w:val="001B177E"/>
    <w:rsid w:val="001B283B"/>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632"/>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5AA4"/>
    <w:rsid w:val="001E61D5"/>
    <w:rsid w:val="001E6312"/>
    <w:rsid w:val="001E6E6E"/>
    <w:rsid w:val="001E763D"/>
    <w:rsid w:val="001E7D42"/>
    <w:rsid w:val="001F0B25"/>
    <w:rsid w:val="001F1BE7"/>
    <w:rsid w:val="001F2FC4"/>
    <w:rsid w:val="001F3C7D"/>
    <w:rsid w:val="001F3CB4"/>
    <w:rsid w:val="001F68DE"/>
    <w:rsid w:val="001F753C"/>
    <w:rsid w:val="002028BF"/>
    <w:rsid w:val="00202916"/>
    <w:rsid w:val="00203C89"/>
    <w:rsid w:val="00204041"/>
    <w:rsid w:val="00204CFE"/>
    <w:rsid w:val="00204E13"/>
    <w:rsid w:val="00205644"/>
    <w:rsid w:val="00205CCE"/>
    <w:rsid w:val="00207A05"/>
    <w:rsid w:val="00207AB9"/>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8B8"/>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288C"/>
    <w:rsid w:val="0023315D"/>
    <w:rsid w:val="00233524"/>
    <w:rsid w:val="00233736"/>
    <w:rsid w:val="00233956"/>
    <w:rsid w:val="002346CD"/>
    <w:rsid w:val="00234704"/>
    <w:rsid w:val="00236F35"/>
    <w:rsid w:val="00236F9D"/>
    <w:rsid w:val="002375B4"/>
    <w:rsid w:val="00240369"/>
    <w:rsid w:val="00240AEF"/>
    <w:rsid w:val="0024397D"/>
    <w:rsid w:val="00243BB2"/>
    <w:rsid w:val="0024409B"/>
    <w:rsid w:val="00244529"/>
    <w:rsid w:val="00244EDB"/>
    <w:rsid w:val="0024534C"/>
    <w:rsid w:val="00246C4A"/>
    <w:rsid w:val="00247E65"/>
    <w:rsid w:val="0025080C"/>
    <w:rsid w:val="0025207C"/>
    <w:rsid w:val="00254774"/>
    <w:rsid w:val="0025577D"/>
    <w:rsid w:val="00255CB4"/>
    <w:rsid w:val="0025607E"/>
    <w:rsid w:val="00256481"/>
    <w:rsid w:val="002564B0"/>
    <w:rsid w:val="002571A6"/>
    <w:rsid w:val="00257643"/>
    <w:rsid w:val="00260080"/>
    <w:rsid w:val="00260770"/>
    <w:rsid w:val="00260E1E"/>
    <w:rsid w:val="00260F6E"/>
    <w:rsid w:val="00261EA3"/>
    <w:rsid w:val="00262D53"/>
    <w:rsid w:val="00263CA8"/>
    <w:rsid w:val="002643F3"/>
    <w:rsid w:val="0026448F"/>
    <w:rsid w:val="00264FAC"/>
    <w:rsid w:val="002660BC"/>
    <w:rsid w:val="00267042"/>
    <w:rsid w:val="00267FE2"/>
    <w:rsid w:val="0027020F"/>
    <w:rsid w:val="002707F7"/>
    <w:rsid w:val="00270B46"/>
    <w:rsid w:val="00270E66"/>
    <w:rsid w:val="002721FA"/>
    <w:rsid w:val="00272758"/>
    <w:rsid w:val="00272E1D"/>
    <w:rsid w:val="00273BAB"/>
    <w:rsid w:val="00275F5E"/>
    <w:rsid w:val="00276096"/>
    <w:rsid w:val="002764CB"/>
    <w:rsid w:val="0027673E"/>
    <w:rsid w:val="00277A52"/>
    <w:rsid w:val="00277D0B"/>
    <w:rsid w:val="0028052A"/>
    <w:rsid w:val="002805C4"/>
    <w:rsid w:val="00280783"/>
    <w:rsid w:val="00283CA8"/>
    <w:rsid w:val="002845D3"/>
    <w:rsid w:val="00284AD9"/>
    <w:rsid w:val="00284E5C"/>
    <w:rsid w:val="00285752"/>
    <w:rsid w:val="0028792C"/>
    <w:rsid w:val="002879F1"/>
    <w:rsid w:val="002905D8"/>
    <w:rsid w:val="00290DB9"/>
    <w:rsid w:val="00291155"/>
    <w:rsid w:val="00291F7B"/>
    <w:rsid w:val="00291F9C"/>
    <w:rsid w:val="00292BBA"/>
    <w:rsid w:val="00292ECE"/>
    <w:rsid w:val="002940C6"/>
    <w:rsid w:val="00294B1B"/>
    <w:rsid w:val="00294CA9"/>
    <w:rsid w:val="00295998"/>
    <w:rsid w:val="002969C3"/>
    <w:rsid w:val="00297030"/>
    <w:rsid w:val="002A1320"/>
    <w:rsid w:val="002A13F2"/>
    <w:rsid w:val="002A19C0"/>
    <w:rsid w:val="002A2068"/>
    <w:rsid w:val="002A206F"/>
    <w:rsid w:val="002A2980"/>
    <w:rsid w:val="002A33F3"/>
    <w:rsid w:val="002A4896"/>
    <w:rsid w:val="002A49B8"/>
    <w:rsid w:val="002A4D9A"/>
    <w:rsid w:val="002A4E8C"/>
    <w:rsid w:val="002A5179"/>
    <w:rsid w:val="002A57D8"/>
    <w:rsid w:val="002A5D07"/>
    <w:rsid w:val="002A7146"/>
    <w:rsid w:val="002A7679"/>
    <w:rsid w:val="002B23C8"/>
    <w:rsid w:val="002B260A"/>
    <w:rsid w:val="002B57CF"/>
    <w:rsid w:val="002B67A3"/>
    <w:rsid w:val="002C12CE"/>
    <w:rsid w:val="002C155C"/>
    <w:rsid w:val="002C18BA"/>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2CF"/>
    <w:rsid w:val="002F475D"/>
    <w:rsid w:val="002F5272"/>
    <w:rsid w:val="002F664F"/>
    <w:rsid w:val="002F70C2"/>
    <w:rsid w:val="002F7A63"/>
    <w:rsid w:val="003003C0"/>
    <w:rsid w:val="0030068B"/>
    <w:rsid w:val="00300855"/>
    <w:rsid w:val="00302737"/>
    <w:rsid w:val="00302A61"/>
    <w:rsid w:val="003045D1"/>
    <w:rsid w:val="003045F6"/>
    <w:rsid w:val="00304D73"/>
    <w:rsid w:val="0030510F"/>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60F"/>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0E6"/>
    <w:rsid w:val="00362941"/>
    <w:rsid w:val="00362ACB"/>
    <w:rsid w:val="00362BC6"/>
    <w:rsid w:val="00362BEC"/>
    <w:rsid w:val="003636A4"/>
    <w:rsid w:val="00365CE8"/>
    <w:rsid w:val="00367870"/>
    <w:rsid w:val="00370741"/>
    <w:rsid w:val="0037146A"/>
    <w:rsid w:val="0037176A"/>
    <w:rsid w:val="00371907"/>
    <w:rsid w:val="00374BA9"/>
    <w:rsid w:val="00375479"/>
    <w:rsid w:val="0037664B"/>
    <w:rsid w:val="0037754F"/>
    <w:rsid w:val="00377ACE"/>
    <w:rsid w:val="00380C4B"/>
    <w:rsid w:val="003814EF"/>
    <w:rsid w:val="00381669"/>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972F8"/>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0D14"/>
    <w:rsid w:val="003B2C69"/>
    <w:rsid w:val="003B2D3A"/>
    <w:rsid w:val="003B441D"/>
    <w:rsid w:val="003B47FF"/>
    <w:rsid w:val="003B5B43"/>
    <w:rsid w:val="003B60D4"/>
    <w:rsid w:val="003B66A4"/>
    <w:rsid w:val="003B7C61"/>
    <w:rsid w:val="003C0A70"/>
    <w:rsid w:val="003C0F81"/>
    <w:rsid w:val="003C0FDC"/>
    <w:rsid w:val="003C1628"/>
    <w:rsid w:val="003C24A4"/>
    <w:rsid w:val="003C2B1B"/>
    <w:rsid w:val="003C43EF"/>
    <w:rsid w:val="003C4495"/>
    <w:rsid w:val="003C464D"/>
    <w:rsid w:val="003C4B53"/>
    <w:rsid w:val="003C4FF3"/>
    <w:rsid w:val="003C62D1"/>
    <w:rsid w:val="003D0406"/>
    <w:rsid w:val="003D0DF0"/>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A4B"/>
    <w:rsid w:val="003E5FA0"/>
    <w:rsid w:val="003E60F8"/>
    <w:rsid w:val="003E740C"/>
    <w:rsid w:val="003F0F13"/>
    <w:rsid w:val="003F215B"/>
    <w:rsid w:val="003F40BA"/>
    <w:rsid w:val="003F5F7A"/>
    <w:rsid w:val="003F60B5"/>
    <w:rsid w:val="003F6FC9"/>
    <w:rsid w:val="004000E2"/>
    <w:rsid w:val="00400274"/>
    <w:rsid w:val="00400B9A"/>
    <w:rsid w:val="0040271F"/>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1AA5"/>
    <w:rsid w:val="004E2908"/>
    <w:rsid w:val="004E2C11"/>
    <w:rsid w:val="004E2E25"/>
    <w:rsid w:val="004E598B"/>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6A7"/>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8A1"/>
    <w:rsid w:val="00552A9C"/>
    <w:rsid w:val="005535E3"/>
    <w:rsid w:val="00554930"/>
    <w:rsid w:val="00554CC3"/>
    <w:rsid w:val="005552B5"/>
    <w:rsid w:val="00556658"/>
    <w:rsid w:val="00556A53"/>
    <w:rsid w:val="0055774F"/>
    <w:rsid w:val="005578DD"/>
    <w:rsid w:val="00557BF4"/>
    <w:rsid w:val="005607C4"/>
    <w:rsid w:val="00560DD5"/>
    <w:rsid w:val="00562454"/>
    <w:rsid w:val="005637DD"/>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4525"/>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247"/>
    <w:rsid w:val="005C2650"/>
    <w:rsid w:val="005C2DDC"/>
    <w:rsid w:val="005C52A4"/>
    <w:rsid w:val="005C669F"/>
    <w:rsid w:val="005C6D04"/>
    <w:rsid w:val="005C7953"/>
    <w:rsid w:val="005D0D3F"/>
    <w:rsid w:val="005D0FEB"/>
    <w:rsid w:val="005D112C"/>
    <w:rsid w:val="005D1834"/>
    <w:rsid w:val="005D259B"/>
    <w:rsid w:val="005D28B7"/>
    <w:rsid w:val="005D4F7E"/>
    <w:rsid w:val="005D52FB"/>
    <w:rsid w:val="005D53B6"/>
    <w:rsid w:val="005D6411"/>
    <w:rsid w:val="005D6D7E"/>
    <w:rsid w:val="005D725E"/>
    <w:rsid w:val="005E1EE9"/>
    <w:rsid w:val="005E2645"/>
    <w:rsid w:val="005E3318"/>
    <w:rsid w:val="005E4A61"/>
    <w:rsid w:val="005E50C9"/>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0786E"/>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5CA"/>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4FB"/>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0BF7"/>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C7FC5"/>
    <w:rsid w:val="006D1BF1"/>
    <w:rsid w:val="006D2513"/>
    <w:rsid w:val="006D251E"/>
    <w:rsid w:val="006D34BA"/>
    <w:rsid w:val="006D3F29"/>
    <w:rsid w:val="006D3FDB"/>
    <w:rsid w:val="006D4845"/>
    <w:rsid w:val="006D658C"/>
    <w:rsid w:val="006D67BD"/>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326"/>
    <w:rsid w:val="007045E2"/>
    <w:rsid w:val="00704607"/>
    <w:rsid w:val="0070462F"/>
    <w:rsid w:val="00704FE4"/>
    <w:rsid w:val="00705506"/>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E36"/>
    <w:rsid w:val="00721F36"/>
    <w:rsid w:val="00722326"/>
    <w:rsid w:val="00722B5D"/>
    <w:rsid w:val="0072452E"/>
    <w:rsid w:val="00725EA1"/>
    <w:rsid w:val="00726916"/>
    <w:rsid w:val="00726A4A"/>
    <w:rsid w:val="0072704E"/>
    <w:rsid w:val="007333B9"/>
    <w:rsid w:val="0073427D"/>
    <w:rsid w:val="0073540A"/>
    <w:rsid w:val="0073624E"/>
    <w:rsid w:val="00736BFB"/>
    <w:rsid w:val="007412C3"/>
    <w:rsid w:val="0074344B"/>
    <w:rsid w:val="00743CA8"/>
    <w:rsid w:val="007444F7"/>
    <w:rsid w:val="00744B4E"/>
    <w:rsid w:val="007459B8"/>
    <w:rsid w:val="00745E9A"/>
    <w:rsid w:val="00746C78"/>
    <w:rsid w:val="0075079F"/>
    <w:rsid w:val="00750EA1"/>
    <w:rsid w:val="00752484"/>
    <w:rsid w:val="007531E3"/>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764C0"/>
    <w:rsid w:val="00782307"/>
    <w:rsid w:val="00782C5C"/>
    <w:rsid w:val="00782F74"/>
    <w:rsid w:val="00783551"/>
    <w:rsid w:val="0078387B"/>
    <w:rsid w:val="00783A85"/>
    <w:rsid w:val="00784F23"/>
    <w:rsid w:val="007851FC"/>
    <w:rsid w:val="007855EA"/>
    <w:rsid w:val="0078560A"/>
    <w:rsid w:val="00785BF8"/>
    <w:rsid w:val="00786635"/>
    <w:rsid w:val="00787012"/>
    <w:rsid w:val="00787544"/>
    <w:rsid w:val="00790120"/>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B0187"/>
    <w:rsid w:val="007B0DDC"/>
    <w:rsid w:val="007B0E16"/>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6746"/>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774"/>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45E2A"/>
    <w:rsid w:val="0085019A"/>
    <w:rsid w:val="00850C1C"/>
    <w:rsid w:val="00851368"/>
    <w:rsid w:val="00851AD2"/>
    <w:rsid w:val="00851E89"/>
    <w:rsid w:val="00851F26"/>
    <w:rsid w:val="00852869"/>
    <w:rsid w:val="00854867"/>
    <w:rsid w:val="00856274"/>
    <w:rsid w:val="00856558"/>
    <w:rsid w:val="00856DB6"/>
    <w:rsid w:val="00856ED5"/>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C6069"/>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124"/>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2D2E"/>
    <w:rsid w:val="009C34FD"/>
    <w:rsid w:val="009C5181"/>
    <w:rsid w:val="009C6187"/>
    <w:rsid w:val="009C6626"/>
    <w:rsid w:val="009C72D3"/>
    <w:rsid w:val="009C7430"/>
    <w:rsid w:val="009D045B"/>
    <w:rsid w:val="009D05DF"/>
    <w:rsid w:val="009D1AE9"/>
    <w:rsid w:val="009D2206"/>
    <w:rsid w:val="009D314B"/>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3CA"/>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57AC"/>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5C6"/>
    <w:rsid w:val="00A82FE0"/>
    <w:rsid w:val="00A837B1"/>
    <w:rsid w:val="00A83A72"/>
    <w:rsid w:val="00A83F37"/>
    <w:rsid w:val="00A8431B"/>
    <w:rsid w:val="00A8482E"/>
    <w:rsid w:val="00A84C96"/>
    <w:rsid w:val="00A84F27"/>
    <w:rsid w:val="00A86D92"/>
    <w:rsid w:val="00A86DF5"/>
    <w:rsid w:val="00A87560"/>
    <w:rsid w:val="00A90D09"/>
    <w:rsid w:val="00A91AB4"/>
    <w:rsid w:val="00A91ABA"/>
    <w:rsid w:val="00A91BE5"/>
    <w:rsid w:val="00A91F49"/>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4B4F"/>
    <w:rsid w:val="00AD6239"/>
    <w:rsid w:val="00AD6388"/>
    <w:rsid w:val="00AD7523"/>
    <w:rsid w:val="00AD75A9"/>
    <w:rsid w:val="00AD777E"/>
    <w:rsid w:val="00AD7D57"/>
    <w:rsid w:val="00AD7E03"/>
    <w:rsid w:val="00AD7F25"/>
    <w:rsid w:val="00AE224C"/>
    <w:rsid w:val="00AE3287"/>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6CD5"/>
    <w:rsid w:val="00B97B96"/>
    <w:rsid w:val="00BA01E3"/>
    <w:rsid w:val="00BA034F"/>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3611"/>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5740"/>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002"/>
    <w:rsid w:val="00C13610"/>
    <w:rsid w:val="00C14B7E"/>
    <w:rsid w:val="00C14C1B"/>
    <w:rsid w:val="00C15218"/>
    <w:rsid w:val="00C15387"/>
    <w:rsid w:val="00C15BFB"/>
    <w:rsid w:val="00C16DF1"/>
    <w:rsid w:val="00C17326"/>
    <w:rsid w:val="00C21726"/>
    <w:rsid w:val="00C21B95"/>
    <w:rsid w:val="00C22435"/>
    <w:rsid w:val="00C22979"/>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4A7"/>
    <w:rsid w:val="00C6058A"/>
    <w:rsid w:val="00C61D7F"/>
    <w:rsid w:val="00C641A0"/>
    <w:rsid w:val="00C644E8"/>
    <w:rsid w:val="00C64F2A"/>
    <w:rsid w:val="00C663B3"/>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87D56"/>
    <w:rsid w:val="00C90EC0"/>
    <w:rsid w:val="00C91C6A"/>
    <w:rsid w:val="00C92F15"/>
    <w:rsid w:val="00C93119"/>
    <w:rsid w:val="00C94507"/>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401"/>
    <w:rsid w:val="00CE0E1C"/>
    <w:rsid w:val="00CE1B42"/>
    <w:rsid w:val="00CE5873"/>
    <w:rsid w:val="00CF13F0"/>
    <w:rsid w:val="00CF14E7"/>
    <w:rsid w:val="00CF354C"/>
    <w:rsid w:val="00CF3F9F"/>
    <w:rsid w:val="00CF57D1"/>
    <w:rsid w:val="00CF6310"/>
    <w:rsid w:val="00D0135E"/>
    <w:rsid w:val="00D0163C"/>
    <w:rsid w:val="00D02360"/>
    <w:rsid w:val="00D02D1B"/>
    <w:rsid w:val="00D0431C"/>
    <w:rsid w:val="00D0446D"/>
    <w:rsid w:val="00D04DEE"/>
    <w:rsid w:val="00D050E6"/>
    <w:rsid w:val="00D07407"/>
    <w:rsid w:val="00D077AF"/>
    <w:rsid w:val="00D07D6B"/>
    <w:rsid w:val="00D1025E"/>
    <w:rsid w:val="00D105A4"/>
    <w:rsid w:val="00D10F62"/>
    <w:rsid w:val="00D111F9"/>
    <w:rsid w:val="00D125AA"/>
    <w:rsid w:val="00D146F6"/>
    <w:rsid w:val="00D14746"/>
    <w:rsid w:val="00D14E0B"/>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3DEB"/>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3813"/>
    <w:rsid w:val="00D74192"/>
    <w:rsid w:val="00D75577"/>
    <w:rsid w:val="00D75CE7"/>
    <w:rsid w:val="00D7644D"/>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3BA8"/>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53D"/>
    <w:rsid w:val="00DE6C1C"/>
    <w:rsid w:val="00DE6DE3"/>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240C"/>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2867"/>
    <w:rsid w:val="00E336EB"/>
    <w:rsid w:val="00E3662B"/>
    <w:rsid w:val="00E401D2"/>
    <w:rsid w:val="00E41391"/>
    <w:rsid w:val="00E4156B"/>
    <w:rsid w:val="00E420F3"/>
    <w:rsid w:val="00E42AC1"/>
    <w:rsid w:val="00E42E3C"/>
    <w:rsid w:val="00E43012"/>
    <w:rsid w:val="00E43AD1"/>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3E14"/>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643"/>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1B3"/>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6825"/>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AD25D"/>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1"/>
    <w:qFormat/>
    <w:pPr>
      <w:jc w:val="both"/>
    </w:pPr>
  </w:style>
  <w:style w:type="character" w:customStyle="1" w:styleId="NoSpacingChar">
    <w:name w:val="No Spacing Char"/>
    <w:basedOn w:val="DefaultParagraphFont"/>
    <w:link w:val="NoSpacing"/>
    <w:uiPriority w:val="1"/>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ListParagraph">
    <w:name w:val="List Paragraph"/>
    <w:basedOn w:val="Normal"/>
    <w:uiPriority w:val="34"/>
    <w:qFormat/>
    <w:rsid w:val="00FE6825"/>
    <w:pPr>
      <w:spacing w:after="160" w:line="259" w:lineRule="auto"/>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291F9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2862">
      <w:bodyDiv w:val="1"/>
      <w:marLeft w:val="0"/>
      <w:marRight w:val="0"/>
      <w:marTop w:val="0"/>
      <w:marBottom w:val="0"/>
      <w:divBdr>
        <w:top w:val="none" w:sz="0" w:space="0" w:color="auto"/>
        <w:left w:val="none" w:sz="0" w:space="0" w:color="auto"/>
        <w:bottom w:val="none" w:sz="0" w:space="0" w:color="auto"/>
        <w:right w:val="none" w:sz="0" w:space="0" w:color="auto"/>
      </w:divBdr>
    </w:div>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675421944">
      <w:bodyDiv w:val="1"/>
      <w:marLeft w:val="0"/>
      <w:marRight w:val="0"/>
      <w:marTop w:val="0"/>
      <w:marBottom w:val="0"/>
      <w:divBdr>
        <w:top w:val="none" w:sz="0" w:space="0" w:color="auto"/>
        <w:left w:val="none" w:sz="0" w:space="0" w:color="auto"/>
        <w:bottom w:val="none" w:sz="0" w:space="0" w:color="auto"/>
        <w:right w:val="none" w:sz="0" w:space="0" w:color="auto"/>
      </w:divBdr>
    </w:div>
    <w:div w:id="938178371">
      <w:bodyDiv w:val="1"/>
      <w:marLeft w:val="0"/>
      <w:marRight w:val="0"/>
      <w:marTop w:val="0"/>
      <w:marBottom w:val="0"/>
      <w:divBdr>
        <w:top w:val="none" w:sz="0" w:space="0" w:color="auto"/>
        <w:left w:val="none" w:sz="0" w:space="0" w:color="auto"/>
        <w:bottom w:val="none" w:sz="0" w:space="0" w:color="auto"/>
        <w:right w:val="none" w:sz="0" w:space="0" w:color="auto"/>
      </w:divBdr>
    </w:div>
    <w:div w:id="1489981873">
      <w:bodyDiv w:val="1"/>
      <w:marLeft w:val="0"/>
      <w:marRight w:val="0"/>
      <w:marTop w:val="0"/>
      <w:marBottom w:val="0"/>
      <w:divBdr>
        <w:top w:val="none" w:sz="0" w:space="0" w:color="auto"/>
        <w:left w:val="none" w:sz="0" w:space="0" w:color="auto"/>
        <w:bottom w:val="none" w:sz="0" w:space="0" w:color="auto"/>
        <w:right w:val="none" w:sz="0" w:space="0" w:color="auto"/>
      </w:divBdr>
    </w:div>
    <w:div w:id="1544906277">
      <w:bodyDiv w:val="1"/>
      <w:marLeft w:val="0"/>
      <w:marRight w:val="0"/>
      <w:marTop w:val="0"/>
      <w:marBottom w:val="0"/>
      <w:divBdr>
        <w:top w:val="none" w:sz="0" w:space="0" w:color="auto"/>
        <w:left w:val="none" w:sz="0" w:space="0" w:color="auto"/>
        <w:bottom w:val="none" w:sz="0" w:space="0" w:color="auto"/>
        <w:right w:val="none" w:sz="0" w:space="0" w:color="auto"/>
      </w:divBdr>
    </w:div>
    <w:div w:id="15686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33EF1AD-0AC6-428B-8C1D-53274482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6251</Words>
  <Characters>37945</Characters>
  <Application>Microsoft Office Word</Application>
  <DocSecurity>0</DocSecurity>
  <Lines>1025</Lines>
  <Paragraphs>552</Paragraphs>
  <ScaleCrop>false</ScaleCrop>
  <HeadingPairs>
    <vt:vector size="2" baseType="variant">
      <vt:variant>
        <vt:lpstr>Title</vt:lpstr>
      </vt:variant>
      <vt:variant>
        <vt:i4>1</vt:i4>
      </vt:variant>
    </vt:vector>
  </HeadingPairs>
  <TitlesOfParts>
    <vt:vector size="1" baseType="lpstr">
      <vt:lpstr>Consolidated annual performance and evaluation report (caper)</vt:lpstr>
    </vt:vector>
  </TitlesOfParts>
  <Company>Microsoft</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performance and evaluation report (caper)</dc:title>
  <dc:subject>City of York, York County, Pennsylvania</dc:subject>
  <dc:creator>FISCAL YEAR 2022</dc:creator>
  <cp:lastModifiedBy>Kate Molinaro</cp:lastModifiedBy>
  <cp:revision>17</cp:revision>
  <dcterms:created xsi:type="dcterms:W3CDTF">2023-02-22T02:21:00Z</dcterms:created>
  <dcterms:modified xsi:type="dcterms:W3CDTF">2023-02-24T13:22:00Z</dcterms:modified>
  <cp:category>(1/1/2022 through 12/31/2022</cp:category>
</cp:coreProperties>
</file>